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10B9" w14:textId="77777777" w:rsidR="007B2837" w:rsidRDefault="007B2837" w:rsidP="00F20E62">
      <w:pPr>
        <w:jc w:val="center"/>
        <w:rPr>
          <w:b/>
        </w:rPr>
      </w:pPr>
    </w:p>
    <w:p w14:paraId="6E345A0A" w14:textId="77777777" w:rsidR="007B2837" w:rsidRDefault="007B2837" w:rsidP="00F20E62">
      <w:pPr>
        <w:jc w:val="center"/>
        <w:rPr>
          <w:b/>
        </w:rPr>
      </w:pPr>
    </w:p>
    <w:p w14:paraId="0C314EF0" w14:textId="44BEFE73" w:rsidR="00F20E62" w:rsidRPr="007B2837" w:rsidRDefault="00F20E62" w:rsidP="00F20E62">
      <w:pPr>
        <w:jc w:val="center"/>
        <w:rPr>
          <w:b/>
          <w:sz w:val="24"/>
        </w:rPr>
      </w:pPr>
      <w:r w:rsidRPr="007B2837">
        <w:rPr>
          <w:b/>
          <w:sz w:val="24"/>
        </w:rPr>
        <w:t>SUBMISSIONS TO THE NORTH EAST LINK PROJECT</w:t>
      </w:r>
    </w:p>
    <w:p w14:paraId="5AAE0C80" w14:textId="77777777" w:rsidR="00F20E62" w:rsidRPr="007B2837" w:rsidRDefault="00F20E62" w:rsidP="00F20E62">
      <w:pPr>
        <w:jc w:val="center"/>
        <w:rPr>
          <w:b/>
          <w:sz w:val="24"/>
        </w:rPr>
      </w:pPr>
      <w:r w:rsidRPr="007B2837">
        <w:rPr>
          <w:b/>
          <w:sz w:val="24"/>
        </w:rPr>
        <w:t>INQUIRY AND ADVISORY COMMITTEE</w:t>
      </w:r>
    </w:p>
    <w:p w14:paraId="55FCED9E" w14:textId="798EB936" w:rsidR="0023763D" w:rsidRPr="007B2837" w:rsidRDefault="00F20E62" w:rsidP="007B2837">
      <w:pPr>
        <w:jc w:val="center"/>
        <w:rPr>
          <w:b/>
          <w:sz w:val="24"/>
        </w:rPr>
      </w:pPr>
      <w:r w:rsidRPr="007B2837">
        <w:rPr>
          <w:b/>
          <w:sz w:val="24"/>
        </w:rPr>
        <w:t>ON BEHALF OF THE YARRA RIVERKEEPER ASSOCIATION</w:t>
      </w:r>
    </w:p>
    <w:p w14:paraId="387EAE81" w14:textId="77777777" w:rsidR="0023763D" w:rsidRDefault="0023763D" w:rsidP="00F20E62">
      <w:pPr>
        <w:jc w:val="center"/>
        <w:rPr>
          <w:b/>
        </w:rPr>
      </w:pPr>
    </w:p>
    <w:p w14:paraId="083FAE81" w14:textId="77777777" w:rsidR="0023763D" w:rsidRDefault="0023763D" w:rsidP="00F20E62">
      <w:pPr>
        <w:jc w:val="center"/>
        <w:rPr>
          <w:b/>
        </w:rPr>
      </w:pPr>
    </w:p>
    <w:p w14:paraId="5E1EFA04" w14:textId="77777777" w:rsidR="0023763D" w:rsidRDefault="0023763D" w:rsidP="00F20E62">
      <w:pPr>
        <w:jc w:val="center"/>
        <w:rPr>
          <w:b/>
        </w:rPr>
      </w:pPr>
    </w:p>
    <w:p w14:paraId="61E139CB" w14:textId="77777777" w:rsidR="0023763D" w:rsidRPr="00F20E62" w:rsidRDefault="0023763D" w:rsidP="00F20E62">
      <w:pPr>
        <w:jc w:val="center"/>
        <w:rPr>
          <w:b/>
        </w:rPr>
      </w:pPr>
    </w:p>
    <w:sdt>
      <w:sdtPr>
        <w:rPr>
          <w:rFonts w:asciiTheme="minorHAnsi" w:eastAsiaTheme="minorHAnsi" w:hAnsiTheme="minorHAnsi" w:cstheme="minorBidi"/>
          <w:color w:val="auto"/>
          <w:sz w:val="22"/>
          <w:szCs w:val="22"/>
          <w:lang w:val="en-AU"/>
        </w:rPr>
        <w:id w:val="979105633"/>
        <w:docPartObj>
          <w:docPartGallery w:val="Table of Contents"/>
          <w:docPartUnique/>
        </w:docPartObj>
      </w:sdtPr>
      <w:sdtEndPr>
        <w:rPr>
          <w:b/>
          <w:bCs/>
          <w:noProof/>
        </w:rPr>
      </w:sdtEndPr>
      <w:sdtContent>
        <w:p w14:paraId="7023757E" w14:textId="38FB5661" w:rsidR="00023723" w:rsidRPr="007B2837" w:rsidRDefault="00023723">
          <w:pPr>
            <w:pStyle w:val="TOCHeading"/>
            <w:rPr>
              <w:rFonts w:asciiTheme="minorHAnsi" w:hAnsiTheme="minorHAnsi" w:cstheme="minorHAnsi"/>
              <w:b/>
              <w:bCs/>
              <w:color w:val="auto"/>
              <w:sz w:val="22"/>
              <w:szCs w:val="24"/>
            </w:rPr>
          </w:pPr>
          <w:r w:rsidRPr="007B2837">
            <w:rPr>
              <w:rFonts w:asciiTheme="minorHAnsi" w:hAnsiTheme="minorHAnsi" w:cstheme="minorHAnsi"/>
              <w:b/>
              <w:bCs/>
              <w:color w:val="auto"/>
              <w:sz w:val="22"/>
              <w:szCs w:val="24"/>
            </w:rPr>
            <w:t>Contents</w:t>
          </w:r>
        </w:p>
        <w:p w14:paraId="556C6FC8" w14:textId="5A0CE3E8" w:rsidR="00FF642F" w:rsidRDefault="00023723">
          <w:pPr>
            <w:pStyle w:val="TOC1"/>
            <w:rPr>
              <w:rFonts w:eastAsiaTheme="minorEastAsia"/>
              <w:noProof/>
              <w:lang w:eastAsia="en-AU"/>
            </w:rPr>
          </w:pPr>
          <w:r>
            <w:fldChar w:fldCharType="begin"/>
          </w:r>
          <w:r>
            <w:instrText xml:space="preserve"> TOC \o "1-3" \h \z \u </w:instrText>
          </w:r>
          <w:r>
            <w:fldChar w:fldCharType="separate"/>
          </w:r>
          <w:hyperlink w:anchor="_Toc18592015" w:history="1">
            <w:r w:rsidR="00FF642F" w:rsidRPr="008E587F">
              <w:rPr>
                <w:rStyle w:val="Hyperlink"/>
                <w:noProof/>
              </w:rPr>
              <w:t>A.</w:t>
            </w:r>
            <w:r w:rsidR="00FF642F">
              <w:rPr>
                <w:rFonts w:eastAsiaTheme="minorEastAsia"/>
                <w:noProof/>
                <w:lang w:eastAsia="en-AU"/>
              </w:rPr>
              <w:tab/>
            </w:r>
            <w:r w:rsidR="00FF642F" w:rsidRPr="008E587F">
              <w:rPr>
                <w:rStyle w:val="Hyperlink"/>
                <w:noProof/>
              </w:rPr>
              <w:t>The Yarra Riverkeeper Association</w:t>
            </w:r>
            <w:r w:rsidR="00FF642F">
              <w:rPr>
                <w:noProof/>
                <w:webHidden/>
              </w:rPr>
              <w:tab/>
            </w:r>
            <w:r w:rsidR="00FF642F">
              <w:rPr>
                <w:noProof/>
                <w:webHidden/>
              </w:rPr>
              <w:fldChar w:fldCharType="begin"/>
            </w:r>
            <w:r w:rsidR="00FF642F">
              <w:rPr>
                <w:noProof/>
                <w:webHidden/>
              </w:rPr>
              <w:instrText xml:space="preserve"> PAGEREF _Toc18592015 \h </w:instrText>
            </w:r>
            <w:r w:rsidR="00FF642F">
              <w:rPr>
                <w:noProof/>
                <w:webHidden/>
              </w:rPr>
            </w:r>
            <w:r w:rsidR="00FF642F">
              <w:rPr>
                <w:noProof/>
                <w:webHidden/>
              </w:rPr>
              <w:fldChar w:fldCharType="separate"/>
            </w:r>
            <w:r w:rsidR="00FF642F">
              <w:rPr>
                <w:noProof/>
                <w:webHidden/>
              </w:rPr>
              <w:t>2</w:t>
            </w:r>
            <w:r w:rsidR="00FF642F">
              <w:rPr>
                <w:noProof/>
                <w:webHidden/>
              </w:rPr>
              <w:fldChar w:fldCharType="end"/>
            </w:r>
          </w:hyperlink>
        </w:p>
        <w:p w14:paraId="3C0940D8" w14:textId="5FB9DA5F" w:rsidR="00FF642F" w:rsidRDefault="009172C5">
          <w:pPr>
            <w:pStyle w:val="TOC2"/>
            <w:tabs>
              <w:tab w:val="right" w:leader="dot" w:pos="9016"/>
            </w:tabs>
            <w:rPr>
              <w:rFonts w:eastAsiaTheme="minorEastAsia"/>
              <w:noProof/>
              <w:lang w:eastAsia="en-AU"/>
            </w:rPr>
          </w:pPr>
          <w:hyperlink w:anchor="_Toc18592016" w:history="1">
            <w:r w:rsidR="00FF642F" w:rsidRPr="008E587F">
              <w:rPr>
                <w:rStyle w:val="Hyperlink"/>
                <w:noProof/>
              </w:rPr>
              <w:t>The Yarra Riverkeeper’s interest in the North East Link Project</w:t>
            </w:r>
            <w:r w:rsidR="00FF642F">
              <w:rPr>
                <w:noProof/>
                <w:webHidden/>
              </w:rPr>
              <w:tab/>
            </w:r>
            <w:r w:rsidR="00FF642F">
              <w:rPr>
                <w:noProof/>
                <w:webHidden/>
              </w:rPr>
              <w:fldChar w:fldCharType="begin"/>
            </w:r>
            <w:r w:rsidR="00FF642F">
              <w:rPr>
                <w:noProof/>
                <w:webHidden/>
              </w:rPr>
              <w:instrText xml:space="preserve"> PAGEREF _Toc18592016 \h </w:instrText>
            </w:r>
            <w:r w:rsidR="00FF642F">
              <w:rPr>
                <w:noProof/>
                <w:webHidden/>
              </w:rPr>
            </w:r>
            <w:r w:rsidR="00FF642F">
              <w:rPr>
                <w:noProof/>
                <w:webHidden/>
              </w:rPr>
              <w:fldChar w:fldCharType="separate"/>
            </w:r>
            <w:r w:rsidR="00FF642F">
              <w:rPr>
                <w:noProof/>
                <w:webHidden/>
              </w:rPr>
              <w:t>2</w:t>
            </w:r>
            <w:r w:rsidR="00FF642F">
              <w:rPr>
                <w:noProof/>
                <w:webHidden/>
              </w:rPr>
              <w:fldChar w:fldCharType="end"/>
            </w:r>
          </w:hyperlink>
        </w:p>
        <w:p w14:paraId="4A097B9B" w14:textId="1383CB53" w:rsidR="00FF642F" w:rsidRDefault="009172C5">
          <w:pPr>
            <w:pStyle w:val="TOC1"/>
            <w:rPr>
              <w:rFonts w:eastAsiaTheme="minorEastAsia"/>
              <w:noProof/>
              <w:lang w:eastAsia="en-AU"/>
            </w:rPr>
          </w:pPr>
          <w:hyperlink w:anchor="_Toc18592017" w:history="1">
            <w:r w:rsidR="00FF642F" w:rsidRPr="008E587F">
              <w:rPr>
                <w:rStyle w:val="Hyperlink"/>
                <w:noProof/>
              </w:rPr>
              <w:t>B.</w:t>
            </w:r>
            <w:r w:rsidR="00FF642F">
              <w:rPr>
                <w:rFonts w:eastAsiaTheme="minorEastAsia"/>
                <w:noProof/>
                <w:lang w:eastAsia="en-AU"/>
              </w:rPr>
              <w:tab/>
            </w:r>
            <w:r w:rsidR="00FF642F" w:rsidRPr="008E587F">
              <w:rPr>
                <w:rStyle w:val="Hyperlink"/>
                <w:noProof/>
              </w:rPr>
              <w:t>A Contemporary Approach to Large-scale Urban Infrastructure and Urban Design</w:t>
            </w:r>
            <w:r w:rsidR="00FF642F">
              <w:rPr>
                <w:noProof/>
                <w:webHidden/>
              </w:rPr>
              <w:tab/>
            </w:r>
            <w:r w:rsidR="00FF642F">
              <w:rPr>
                <w:noProof/>
                <w:webHidden/>
              </w:rPr>
              <w:fldChar w:fldCharType="begin"/>
            </w:r>
            <w:r w:rsidR="00FF642F">
              <w:rPr>
                <w:noProof/>
                <w:webHidden/>
              </w:rPr>
              <w:instrText xml:space="preserve"> PAGEREF _Toc18592017 \h </w:instrText>
            </w:r>
            <w:r w:rsidR="00FF642F">
              <w:rPr>
                <w:noProof/>
                <w:webHidden/>
              </w:rPr>
            </w:r>
            <w:r w:rsidR="00FF642F">
              <w:rPr>
                <w:noProof/>
                <w:webHidden/>
              </w:rPr>
              <w:fldChar w:fldCharType="separate"/>
            </w:r>
            <w:r w:rsidR="00FF642F">
              <w:rPr>
                <w:noProof/>
                <w:webHidden/>
              </w:rPr>
              <w:t>3</w:t>
            </w:r>
            <w:r w:rsidR="00FF642F">
              <w:rPr>
                <w:noProof/>
                <w:webHidden/>
              </w:rPr>
              <w:fldChar w:fldCharType="end"/>
            </w:r>
          </w:hyperlink>
        </w:p>
        <w:p w14:paraId="68D7BAAE" w14:textId="7D66FB39" w:rsidR="00FF642F" w:rsidRDefault="009172C5">
          <w:pPr>
            <w:pStyle w:val="TOC2"/>
            <w:tabs>
              <w:tab w:val="right" w:leader="dot" w:pos="9016"/>
            </w:tabs>
            <w:rPr>
              <w:rFonts w:eastAsiaTheme="minorEastAsia"/>
              <w:noProof/>
              <w:lang w:eastAsia="en-AU"/>
            </w:rPr>
          </w:pPr>
          <w:hyperlink w:anchor="_Toc18592018" w:history="1">
            <w:r w:rsidR="00FF642F" w:rsidRPr="008E587F">
              <w:rPr>
                <w:rStyle w:val="Hyperlink"/>
                <w:noProof/>
              </w:rPr>
              <w:t>Acceptability</w:t>
            </w:r>
            <w:r w:rsidR="00FF642F">
              <w:rPr>
                <w:noProof/>
                <w:webHidden/>
              </w:rPr>
              <w:tab/>
            </w:r>
            <w:r w:rsidR="00FF642F">
              <w:rPr>
                <w:noProof/>
                <w:webHidden/>
              </w:rPr>
              <w:fldChar w:fldCharType="begin"/>
            </w:r>
            <w:r w:rsidR="00FF642F">
              <w:rPr>
                <w:noProof/>
                <w:webHidden/>
              </w:rPr>
              <w:instrText xml:space="preserve"> PAGEREF _Toc18592018 \h </w:instrText>
            </w:r>
            <w:r w:rsidR="00FF642F">
              <w:rPr>
                <w:noProof/>
                <w:webHidden/>
              </w:rPr>
            </w:r>
            <w:r w:rsidR="00FF642F">
              <w:rPr>
                <w:noProof/>
                <w:webHidden/>
              </w:rPr>
              <w:fldChar w:fldCharType="separate"/>
            </w:r>
            <w:r w:rsidR="00FF642F">
              <w:rPr>
                <w:noProof/>
                <w:webHidden/>
              </w:rPr>
              <w:t>5</w:t>
            </w:r>
            <w:r w:rsidR="00FF642F">
              <w:rPr>
                <w:noProof/>
                <w:webHidden/>
              </w:rPr>
              <w:fldChar w:fldCharType="end"/>
            </w:r>
          </w:hyperlink>
        </w:p>
        <w:p w14:paraId="37218917" w14:textId="525707D9" w:rsidR="00FF642F" w:rsidRDefault="009172C5">
          <w:pPr>
            <w:pStyle w:val="TOC2"/>
            <w:tabs>
              <w:tab w:val="right" w:leader="dot" w:pos="9016"/>
            </w:tabs>
            <w:rPr>
              <w:rFonts w:eastAsiaTheme="minorEastAsia"/>
              <w:noProof/>
              <w:lang w:eastAsia="en-AU"/>
            </w:rPr>
          </w:pPr>
          <w:hyperlink w:anchor="_Toc18592019" w:history="1">
            <w:r w:rsidR="00FF642F" w:rsidRPr="008E587F">
              <w:rPr>
                <w:rStyle w:val="Hyperlink"/>
                <w:noProof/>
              </w:rPr>
              <w:t>Planning policy matrix</w:t>
            </w:r>
            <w:r w:rsidR="00FF642F">
              <w:rPr>
                <w:noProof/>
                <w:webHidden/>
              </w:rPr>
              <w:tab/>
            </w:r>
            <w:r w:rsidR="00FF642F">
              <w:rPr>
                <w:noProof/>
                <w:webHidden/>
              </w:rPr>
              <w:fldChar w:fldCharType="begin"/>
            </w:r>
            <w:r w:rsidR="00FF642F">
              <w:rPr>
                <w:noProof/>
                <w:webHidden/>
              </w:rPr>
              <w:instrText xml:space="preserve"> PAGEREF _Toc18592019 \h </w:instrText>
            </w:r>
            <w:r w:rsidR="00FF642F">
              <w:rPr>
                <w:noProof/>
                <w:webHidden/>
              </w:rPr>
            </w:r>
            <w:r w:rsidR="00FF642F">
              <w:rPr>
                <w:noProof/>
                <w:webHidden/>
              </w:rPr>
              <w:fldChar w:fldCharType="separate"/>
            </w:r>
            <w:r w:rsidR="00FF642F">
              <w:rPr>
                <w:noProof/>
                <w:webHidden/>
              </w:rPr>
              <w:t>7</w:t>
            </w:r>
            <w:r w:rsidR="00FF642F">
              <w:rPr>
                <w:noProof/>
                <w:webHidden/>
              </w:rPr>
              <w:fldChar w:fldCharType="end"/>
            </w:r>
          </w:hyperlink>
        </w:p>
        <w:p w14:paraId="1C951611" w14:textId="37928988" w:rsidR="00FF642F" w:rsidRDefault="009172C5">
          <w:pPr>
            <w:pStyle w:val="TOC1"/>
            <w:rPr>
              <w:rFonts w:eastAsiaTheme="minorEastAsia"/>
              <w:noProof/>
              <w:lang w:eastAsia="en-AU"/>
            </w:rPr>
          </w:pPr>
          <w:hyperlink w:anchor="_Toc18592020" w:history="1">
            <w:r w:rsidR="00FF642F" w:rsidRPr="008E587F">
              <w:rPr>
                <w:rStyle w:val="Hyperlink"/>
                <w:noProof/>
              </w:rPr>
              <w:t>C.</w:t>
            </w:r>
            <w:r w:rsidR="00FF642F">
              <w:rPr>
                <w:rFonts w:eastAsiaTheme="minorEastAsia"/>
                <w:noProof/>
                <w:lang w:eastAsia="en-AU"/>
              </w:rPr>
              <w:tab/>
            </w:r>
            <w:r w:rsidR="00FF642F" w:rsidRPr="008E587F">
              <w:rPr>
                <w:rStyle w:val="Hyperlink"/>
                <w:noProof/>
              </w:rPr>
              <w:t>The Environmental Impact – Specific Matters</w:t>
            </w:r>
            <w:r w:rsidR="00FF642F">
              <w:rPr>
                <w:noProof/>
                <w:webHidden/>
              </w:rPr>
              <w:tab/>
            </w:r>
            <w:r w:rsidR="00FF642F">
              <w:rPr>
                <w:noProof/>
                <w:webHidden/>
              </w:rPr>
              <w:fldChar w:fldCharType="begin"/>
            </w:r>
            <w:r w:rsidR="00FF642F">
              <w:rPr>
                <w:noProof/>
                <w:webHidden/>
              </w:rPr>
              <w:instrText xml:space="preserve"> PAGEREF _Toc18592020 \h </w:instrText>
            </w:r>
            <w:r w:rsidR="00FF642F">
              <w:rPr>
                <w:noProof/>
                <w:webHidden/>
              </w:rPr>
            </w:r>
            <w:r w:rsidR="00FF642F">
              <w:rPr>
                <w:noProof/>
                <w:webHidden/>
              </w:rPr>
              <w:fldChar w:fldCharType="separate"/>
            </w:r>
            <w:r w:rsidR="00FF642F">
              <w:rPr>
                <w:noProof/>
                <w:webHidden/>
              </w:rPr>
              <w:t>13</w:t>
            </w:r>
            <w:r w:rsidR="00FF642F">
              <w:rPr>
                <w:noProof/>
                <w:webHidden/>
              </w:rPr>
              <w:fldChar w:fldCharType="end"/>
            </w:r>
          </w:hyperlink>
        </w:p>
        <w:p w14:paraId="1E7C546F" w14:textId="4AEE8CDF" w:rsidR="00FF642F" w:rsidRDefault="009172C5">
          <w:pPr>
            <w:pStyle w:val="TOC2"/>
            <w:tabs>
              <w:tab w:val="right" w:leader="dot" w:pos="9016"/>
            </w:tabs>
            <w:rPr>
              <w:rFonts w:eastAsiaTheme="minorEastAsia"/>
              <w:noProof/>
              <w:lang w:eastAsia="en-AU"/>
            </w:rPr>
          </w:pPr>
          <w:hyperlink w:anchor="_Toc18592021" w:history="1">
            <w:r w:rsidR="00FF642F" w:rsidRPr="008E587F">
              <w:rPr>
                <w:rStyle w:val="Hyperlink"/>
                <w:noProof/>
              </w:rPr>
              <w:t>Impact on the Yarra River and floodplain, including Bolin Bolin Billabong</w:t>
            </w:r>
            <w:r w:rsidR="00FF642F">
              <w:rPr>
                <w:noProof/>
                <w:webHidden/>
              </w:rPr>
              <w:tab/>
            </w:r>
            <w:r w:rsidR="00FF642F">
              <w:rPr>
                <w:noProof/>
                <w:webHidden/>
              </w:rPr>
              <w:fldChar w:fldCharType="begin"/>
            </w:r>
            <w:r w:rsidR="00FF642F">
              <w:rPr>
                <w:noProof/>
                <w:webHidden/>
              </w:rPr>
              <w:instrText xml:space="preserve"> PAGEREF _Toc18592021 \h </w:instrText>
            </w:r>
            <w:r w:rsidR="00FF642F">
              <w:rPr>
                <w:noProof/>
                <w:webHidden/>
              </w:rPr>
            </w:r>
            <w:r w:rsidR="00FF642F">
              <w:rPr>
                <w:noProof/>
                <w:webHidden/>
              </w:rPr>
              <w:fldChar w:fldCharType="separate"/>
            </w:r>
            <w:r w:rsidR="00FF642F">
              <w:rPr>
                <w:noProof/>
                <w:webHidden/>
              </w:rPr>
              <w:t>13</w:t>
            </w:r>
            <w:r w:rsidR="00FF642F">
              <w:rPr>
                <w:noProof/>
                <w:webHidden/>
              </w:rPr>
              <w:fldChar w:fldCharType="end"/>
            </w:r>
          </w:hyperlink>
        </w:p>
        <w:p w14:paraId="22BFDA07" w14:textId="37A9FF8E" w:rsidR="00FF642F" w:rsidRDefault="009172C5">
          <w:pPr>
            <w:pStyle w:val="TOC3"/>
            <w:tabs>
              <w:tab w:val="right" w:leader="dot" w:pos="9016"/>
            </w:tabs>
            <w:rPr>
              <w:rFonts w:eastAsiaTheme="minorEastAsia"/>
              <w:noProof/>
              <w:lang w:eastAsia="en-AU"/>
            </w:rPr>
          </w:pPr>
          <w:hyperlink w:anchor="_Toc18592022" w:history="1">
            <w:r w:rsidR="00FF642F" w:rsidRPr="008E587F">
              <w:rPr>
                <w:rStyle w:val="Hyperlink"/>
                <w:noProof/>
              </w:rPr>
              <w:t>The Yarra River Corridor</w:t>
            </w:r>
            <w:r w:rsidR="00FF642F">
              <w:rPr>
                <w:noProof/>
                <w:webHidden/>
              </w:rPr>
              <w:tab/>
            </w:r>
            <w:r w:rsidR="00FF642F">
              <w:rPr>
                <w:noProof/>
                <w:webHidden/>
              </w:rPr>
              <w:fldChar w:fldCharType="begin"/>
            </w:r>
            <w:r w:rsidR="00FF642F">
              <w:rPr>
                <w:noProof/>
                <w:webHidden/>
              </w:rPr>
              <w:instrText xml:space="preserve"> PAGEREF _Toc18592022 \h </w:instrText>
            </w:r>
            <w:r w:rsidR="00FF642F">
              <w:rPr>
                <w:noProof/>
                <w:webHidden/>
              </w:rPr>
            </w:r>
            <w:r w:rsidR="00FF642F">
              <w:rPr>
                <w:noProof/>
                <w:webHidden/>
              </w:rPr>
              <w:fldChar w:fldCharType="separate"/>
            </w:r>
            <w:r w:rsidR="00FF642F">
              <w:rPr>
                <w:noProof/>
                <w:webHidden/>
              </w:rPr>
              <w:t>13</w:t>
            </w:r>
            <w:r w:rsidR="00FF642F">
              <w:rPr>
                <w:noProof/>
                <w:webHidden/>
              </w:rPr>
              <w:fldChar w:fldCharType="end"/>
            </w:r>
          </w:hyperlink>
        </w:p>
        <w:p w14:paraId="351BFEC2" w14:textId="10100BD7" w:rsidR="00FF642F" w:rsidRDefault="009172C5">
          <w:pPr>
            <w:pStyle w:val="TOC3"/>
            <w:tabs>
              <w:tab w:val="right" w:leader="dot" w:pos="9016"/>
            </w:tabs>
            <w:rPr>
              <w:rFonts w:eastAsiaTheme="minorEastAsia"/>
              <w:noProof/>
              <w:lang w:eastAsia="en-AU"/>
            </w:rPr>
          </w:pPr>
          <w:hyperlink w:anchor="_Toc18592023" w:history="1">
            <w:r w:rsidR="00FF642F" w:rsidRPr="008E587F">
              <w:rPr>
                <w:rStyle w:val="Hyperlink"/>
                <w:noProof/>
              </w:rPr>
              <w:t>Bolin Bolin Billabong</w:t>
            </w:r>
            <w:r w:rsidR="00FF642F">
              <w:rPr>
                <w:noProof/>
                <w:webHidden/>
              </w:rPr>
              <w:tab/>
            </w:r>
            <w:r w:rsidR="00FF642F">
              <w:rPr>
                <w:noProof/>
                <w:webHidden/>
              </w:rPr>
              <w:fldChar w:fldCharType="begin"/>
            </w:r>
            <w:r w:rsidR="00FF642F">
              <w:rPr>
                <w:noProof/>
                <w:webHidden/>
              </w:rPr>
              <w:instrText xml:space="preserve"> PAGEREF _Toc18592023 \h </w:instrText>
            </w:r>
            <w:r w:rsidR="00FF642F">
              <w:rPr>
                <w:noProof/>
                <w:webHidden/>
              </w:rPr>
            </w:r>
            <w:r w:rsidR="00FF642F">
              <w:rPr>
                <w:noProof/>
                <w:webHidden/>
              </w:rPr>
              <w:fldChar w:fldCharType="separate"/>
            </w:r>
            <w:r w:rsidR="00FF642F">
              <w:rPr>
                <w:noProof/>
                <w:webHidden/>
              </w:rPr>
              <w:t>15</w:t>
            </w:r>
            <w:r w:rsidR="00FF642F">
              <w:rPr>
                <w:noProof/>
                <w:webHidden/>
              </w:rPr>
              <w:fldChar w:fldCharType="end"/>
            </w:r>
          </w:hyperlink>
        </w:p>
        <w:p w14:paraId="0E092582" w14:textId="34B7BD5D" w:rsidR="00FF642F" w:rsidRDefault="009172C5">
          <w:pPr>
            <w:pStyle w:val="TOC2"/>
            <w:tabs>
              <w:tab w:val="right" w:leader="dot" w:pos="9016"/>
            </w:tabs>
            <w:rPr>
              <w:rFonts w:eastAsiaTheme="minorEastAsia"/>
              <w:noProof/>
              <w:lang w:eastAsia="en-AU"/>
            </w:rPr>
          </w:pPr>
          <w:hyperlink w:anchor="_Toc18592024" w:history="1">
            <w:r w:rsidR="00FF642F" w:rsidRPr="008E587F">
              <w:rPr>
                <w:rStyle w:val="Hyperlink"/>
                <w:noProof/>
              </w:rPr>
              <w:t>Impacts on tributaries, including Koonung Creek reserve and Banyule Creek</w:t>
            </w:r>
            <w:r w:rsidR="00FF642F">
              <w:rPr>
                <w:noProof/>
                <w:webHidden/>
              </w:rPr>
              <w:tab/>
            </w:r>
            <w:r w:rsidR="00FF642F">
              <w:rPr>
                <w:noProof/>
                <w:webHidden/>
              </w:rPr>
              <w:fldChar w:fldCharType="begin"/>
            </w:r>
            <w:r w:rsidR="00FF642F">
              <w:rPr>
                <w:noProof/>
                <w:webHidden/>
              </w:rPr>
              <w:instrText xml:space="preserve"> PAGEREF _Toc18592024 \h </w:instrText>
            </w:r>
            <w:r w:rsidR="00FF642F">
              <w:rPr>
                <w:noProof/>
                <w:webHidden/>
              </w:rPr>
            </w:r>
            <w:r w:rsidR="00FF642F">
              <w:rPr>
                <w:noProof/>
                <w:webHidden/>
              </w:rPr>
              <w:fldChar w:fldCharType="separate"/>
            </w:r>
            <w:r w:rsidR="00FF642F">
              <w:rPr>
                <w:noProof/>
                <w:webHidden/>
              </w:rPr>
              <w:t>18</w:t>
            </w:r>
            <w:r w:rsidR="00FF642F">
              <w:rPr>
                <w:noProof/>
                <w:webHidden/>
              </w:rPr>
              <w:fldChar w:fldCharType="end"/>
            </w:r>
          </w:hyperlink>
        </w:p>
        <w:p w14:paraId="0FF09537" w14:textId="46C0713D" w:rsidR="00FF642F" w:rsidRDefault="009172C5">
          <w:pPr>
            <w:pStyle w:val="TOC3"/>
            <w:tabs>
              <w:tab w:val="right" w:leader="dot" w:pos="9016"/>
            </w:tabs>
            <w:rPr>
              <w:rFonts w:eastAsiaTheme="minorEastAsia"/>
              <w:noProof/>
              <w:lang w:eastAsia="en-AU"/>
            </w:rPr>
          </w:pPr>
          <w:hyperlink w:anchor="_Toc18592025" w:history="1">
            <w:r w:rsidR="00FF642F" w:rsidRPr="008E587F">
              <w:rPr>
                <w:rStyle w:val="Hyperlink"/>
                <w:noProof/>
              </w:rPr>
              <w:t>Koonung Creek</w:t>
            </w:r>
            <w:r w:rsidR="00FF642F">
              <w:rPr>
                <w:noProof/>
                <w:webHidden/>
              </w:rPr>
              <w:tab/>
            </w:r>
            <w:r w:rsidR="00FF642F">
              <w:rPr>
                <w:noProof/>
                <w:webHidden/>
              </w:rPr>
              <w:fldChar w:fldCharType="begin"/>
            </w:r>
            <w:r w:rsidR="00FF642F">
              <w:rPr>
                <w:noProof/>
                <w:webHidden/>
              </w:rPr>
              <w:instrText xml:space="preserve"> PAGEREF _Toc18592025 \h </w:instrText>
            </w:r>
            <w:r w:rsidR="00FF642F">
              <w:rPr>
                <w:noProof/>
                <w:webHidden/>
              </w:rPr>
            </w:r>
            <w:r w:rsidR="00FF642F">
              <w:rPr>
                <w:noProof/>
                <w:webHidden/>
              </w:rPr>
              <w:fldChar w:fldCharType="separate"/>
            </w:r>
            <w:r w:rsidR="00FF642F">
              <w:rPr>
                <w:noProof/>
                <w:webHidden/>
              </w:rPr>
              <w:t>18</w:t>
            </w:r>
            <w:r w:rsidR="00FF642F">
              <w:rPr>
                <w:noProof/>
                <w:webHidden/>
              </w:rPr>
              <w:fldChar w:fldCharType="end"/>
            </w:r>
          </w:hyperlink>
        </w:p>
        <w:p w14:paraId="1B99202C" w14:textId="6D2B40BB" w:rsidR="00FF642F" w:rsidRDefault="009172C5">
          <w:pPr>
            <w:pStyle w:val="TOC3"/>
            <w:tabs>
              <w:tab w:val="right" w:leader="dot" w:pos="9016"/>
            </w:tabs>
            <w:rPr>
              <w:rFonts w:eastAsiaTheme="minorEastAsia"/>
              <w:noProof/>
              <w:lang w:eastAsia="en-AU"/>
            </w:rPr>
          </w:pPr>
          <w:hyperlink w:anchor="_Toc18592026" w:history="1">
            <w:r w:rsidR="00FF642F" w:rsidRPr="008E587F">
              <w:rPr>
                <w:rStyle w:val="Hyperlink"/>
                <w:noProof/>
              </w:rPr>
              <w:t>Banyule Creek</w:t>
            </w:r>
            <w:r w:rsidR="00FF642F">
              <w:rPr>
                <w:noProof/>
                <w:webHidden/>
              </w:rPr>
              <w:tab/>
            </w:r>
            <w:r w:rsidR="00FF642F">
              <w:rPr>
                <w:noProof/>
                <w:webHidden/>
              </w:rPr>
              <w:fldChar w:fldCharType="begin"/>
            </w:r>
            <w:r w:rsidR="00FF642F">
              <w:rPr>
                <w:noProof/>
                <w:webHidden/>
              </w:rPr>
              <w:instrText xml:space="preserve"> PAGEREF _Toc18592026 \h </w:instrText>
            </w:r>
            <w:r w:rsidR="00FF642F">
              <w:rPr>
                <w:noProof/>
                <w:webHidden/>
              </w:rPr>
            </w:r>
            <w:r w:rsidR="00FF642F">
              <w:rPr>
                <w:noProof/>
                <w:webHidden/>
              </w:rPr>
              <w:fldChar w:fldCharType="separate"/>
            </w:r>
            <w:r w:rsidR="00FF642F">
              <w:rPr>
                <w:noProof/>
                <w:webHidden/>
              </w:rPr>
              <w:t>20</w:t>
            </w:r>
            <w:r w:rsidR="00FF642F">
              <w:rPr>
                <w:noProof/>
                <w:webHidden/>
              </w:rPr>
              <w:fldChar w:fldCharType="end"/>
            </w:r>
          </w:hyperlink>
        </w:p>
        <w:p w14:paraId="5C73EC82" w14:textId="390CED83" w:rsidR="00FF642F" w:rsidRDefault="009172C5">
          <w:pPr>
            <w:pStyle w:val="TOC3"/>
            <w:tabs>
              <w:tab w:val="right" w:leader="dot" w:pos="9016"/>
            </w:tabs>
            <w:rPr>
              <w:rFonts w:eastAsiaTheme="minorEastAsia"/>
              <w:noProof/>
              <w:lang w:eastAsia="en-AU"/>
            </w:rPr>
          </w:pPr>
          <w:hyperlink w:anchor="_Toc18592027" w:history="1">
            <w:r w:rsidR="00FF642F" w:rsidRPr="008E587F">
              <w:rPr>
                <w:rStyle w:val="Hyperlink"/>
                <w:noProof/>
              </w:rPr>
              <w:t>Simpson Army Barracks</w:t>
            </w:r>
            <w:r w:rsidR="00FF642F">
              <w:rPr>
                <w:noProof/>
                <w:webHidden/>
              </w:rPr>
              <w:tab/>
            </w:r>
            <w:r w:rsidR="00FF642F">
              <w:rPr>
                <w:noProof/>
                <w:webHidden/>
              </w:rPr>
              <w:fldChar w:fldCharType="begin"/>
            </w:r>
            <w:r w:rsidR="00FF642F">
              <w:rPr>
                <w:noProof/>
                <w:webHidden/>
              </w:rPr>
              <w:instrText xml:space="preserve"> PAGEREF _Toc18592027 \h </w:instrText>
            </w:r>
            <w:r w:rsidR="00FF642F">
              <w:rPr>
                <w:noProof/>
                <w:webHidden/>
              </w:rPr>
            </w:r>
            <w:r w:rsidR="00FF642F">
              <w:rPr>
                <w:noProof/>
                <w:webHidden/>
              </w:rPr>
              <w:fldChar w:fldCharType="separate"/>
            </w:r>
            <w:r w:rsidR="00FF642F">
              <w:rPr>
                <w:noProof/>
                <w:webHidden/>
              </w:rPr>
              <w:t>20</w:t>
            </w:r>
            <w:r w:rsidR="00FF642F">
              <w:rPr>
                <w:noProof/>
                <w:webHidden/>
              </w:rPr>
              <w:fldChar w:fldCharType="end"/>
            </w:r>
          </w:hyperlink>
        </w:p>
        <w:p w14:paraId="66451DBA" w14:textId="68AC33B2" w:rsidR="00FF642F" w:rsidRDefault="009172C5">
          <w:pPr>
            <w:pStyle w:val="TOC2"/>
            <w:tabs>
              <w:tab w:val="right" w:leader="dot" w:pos="9016"/>
            </w:tabs>
            <w:rPr>
              <w:rFonts w:eastAsiaTheme="minorEastAsia"/>
              <w:noProof/>
              <w:lang w:eastAsia="en-AU"/>
            </w:rPr>
          </w:pPr>
          <w:hyperlink w:anchor="_Toc18592028" w:history="1">
            <w:r w:rsidR="00FF642F" w:rsidRPr="008E587F">
              <w:rPr>
                <w:rStyle w:val="Hyperlink"/>
                <w:noProof/>
              </w:rPr>
              <w:t>Impacts on the urban ecology, including native vegetation, ‘amenity’ vegetation and threatened species</w:t>
            </w:r>
            <w:r w:rsidR="00FF642F">
              <w:rPr>
                <w:noProof/>
                <w:webHidden/>
              </w:rPr>
              <w:tab/>
            </w:r>
            <w:r w:rsidR="00FF642F">
              <w:rPr>
                <w:noProof/>
                <w:webHidden/>
              </w:rPr>
              <w:fldChar w:fldCharType="begin"/>
            </w:r>
            <w:r w:rsidR="00FF642F">
              <w:rPr>
                <w:noProof/>
                <w:webHidden/>
              </w:rPr>
              <w:instrText xml:space="preserve"> PAGEREF _Toc18592028 \h </w:instrText>
            </w:r>
            <w:r w:rsidR="00FF642F">
              <w:rPr>
                <w:noProof/>
                <w:webHidden/>
              </w:rPr>
            </w:r>
            <w:r w:rsidR="00FF642F">
              <w:rPr>
                <w:noProof/>
                <w:webHidden/>
              </w:rPr>
              <w:fldChar w:fldCharType="separate"/>
            </w:r>
            <w:r w:rsidR="00FF642F">
              <w:rPr>
                <w:noProof/>
                <w:webHidden/>
              </w:rPr>
              <w:t>23</w:t>
            </w:r>
            <w:r w:rsidR="00FF642F">
              <w:rPr>
                <w:noProof/>
                <w:webHidden/>
              </w:rPr>
              <w:fldChar w:fldCharType="end"/>
            </w:r>
          </w:hyperlink>
        </w:p>
        <w:p w14:paraId="049254FF" w14:textId="3FE399FC" w:rsidR="00FF642F" w:rsidRDefault="009172C5">
          <w:pPr>
            <w:pStyle w:val="TOC3"/>
            <w:tabs>
              <w:tab w:val="right" w:leader="dot" w:pos="9016"/>
            </w:tabs>
            <w:rPr>
              <w:rFonts w:eastAsiaTheme="minorEastAsia"/>
              <w:noProof/>
              <w:lang w:eastAsia="en-AU"/>
            </w:rPr>
          </w:pPr>
          <w:hyperlink w:anchor="_Toc18592029" w:history="1">
            <w:r w:rsidR="00FF642F" w:rsidRPr="008E587F">
              <w:rPr>
                <w:rStyle w:val="Hyperlink"/>
                <w:noProof/>
              </w:rPr>
              <w:t>Native vegetation, avoidance and offsets</w:t>
            </w:r>
            <w:r w:rsidR="00FF642F">
              <w:rPr>
                <w:noProof/>
                <w:webHidden/>
              </w:rPr>
              <w:tab/>
            </w:r>
            <w:r w:rsidR="00FF642F">
              <w:rPr>
                <w:noProof/>
                <w:webHidden/>
              </w:rPr>
              <w:fldChar w:fldCharType="begin"/>
            </w:r>
            <w:r w:rsidR="00FF642F">
              <w:rPr>
                <w:noProof/>
                <w:webHidden/>
              </w:rPr>
              <w:instrText xml:space="preserve"> PAGEREF _Toc18592029 \h </w:instrText>
            </w:r>
            <w:r w:rsidR="00FF642F">
              <w:rPr>
                <w:noProof/>
                <w:webHidden/>
              </w:rPr>
            </w:r>
            <w:r w:rsidR="00FF642F">
              <w:rPr>
                <w:noProof/>
                <w:webHidden/>
              </w:rPr>
              <w:fldChar w:fldCharType="separate"/>
            </w:r>
            <w:r w:rsidR="00FF642F">
              <w:rPr>
                <w:noProof/>
                <w:webHidden/>
              </w:rPr>
              <w:t>23</w:t>
            </w:r>
            <w:r w:rsidR="00FF642F">
              <w:rPr>
                <w:noProof/>
                <w:webHidden/>
              </w:rPr>
              <w:fldChar w:fldCharType="end"/>
            </w:r>
          </w:hyperlink>
        </w:p>
        <w:p w14:paraId="7CD367BD" w14:textId="30DB31D6" w:rsidR="00FF642F" w:rsidRDefault="009172C5">
          <w:pPr>
            <w:pStyle w:val="TOC3"/>
            <w:tabs>
              <w:tab w:val="right" w:leader="dot" w:pos="9016"/>
            </w:tabs>
            <w:rPr>
              <w:rFonts w:eastAsiaTheme="minorEastAsia"/>
              <w:noProof/>
              <w:lang w:eastAsia="en-AU"/>
            </w:rPr>
          </w:pPr>
          <w:hyperlink w:anchor="_Toc18592030" w:history="1">
            <w:r w:rsidR="00FF642F" w:rsidRPr="008E587F">
              <w:rPr>
                <w:rStyle w:val="Hyperlink"/>
                <w:noProof/>
              </w:rPr>
              <w:t>The ‘urban forest’</w:t>
            </w:r>
            <w:r w:rsidR="00FF642F">
              <w:rPr>
                <w:noProof/>
                <w:webHidden/>
              </w:rPr>
              <w:tab/>
            </w:r>
            <w:r w:rsidR="00FF642F">
              <w:rPr>
                <w:noProof/>
                <w:webHidden/>
              </w:rPr>
              <w:fldChar w:fldCharType="begin"/>
            </w:r>
            <w:r w:rsidR="00FF642F">
              <w:rPr>
                <w:noProof/>
                <w:webHidden/>
              </w:rPr>
              <w:instrText xml:space="preserve"> PAGEREF _Toc18592030 \h </w:instrText>
            </w:r>
            <w:r w:rsidR="00FF642F">
              <w:rPr>
                <w:noProof/>
                <w:webHidden/>
              </w:rPr>
            </w:r>
            <w:r w:rsidR="00FF642F">
              <w:rPr>
                <w:noProof/>
                <w:webHidden/>
              </w:rPr>
              <w:fldChar w:fldCharType="separate"/>
            </w:r>
            <w:r w:rsidR="00FF642F">
              <w:rPr>
                <w:noProof/>
                <w:webHidden/>
              </w:rPr>
              <w:t>25</w:t>
            </w:r>
            <w:r w:rsidR="00FF642F">
              <w:rPr>
                <w:noProof/>
                <w:webHidden/>
              </w:rPr>
              <w:fldChar w:fldCharType="end"/>
            </w:r>
          </w:hyperlink>
        </w:p>
        <w:p w14:paraId="553FCB33" w14:textId="4E4979B2" w:rsidR="00FF642F" w:rsidRDefault="009172C5">
          <w:pPr>
            <w:pStyle w:val="TOC3"/>
            <w:tabs>
              <w:tab w:val="right" w:leader="dot" w:pos="9016"/>
            </w:tabs>
            <w:rPr>
              <w:rFonts w:eastAsiaTheme="minorEastAsia"/>
              <w:noProof/>
              <w:lang w:eastAsia="en-AU"/>
            </w:rPr>
          </w:pPr>
          <w:hyperlink w:anchor="_Toc18592031" w:history="1">
            <w:r w:rsidR="00FF642F" w:rsidRPr="008E587F">
              <w:rPr>
                <w:rStyle w:val="Hyperlink"/>
                <w:noProof/>
              </w:rPr>
              <w:t>Biodiversity and urban design</w:t>
            </w:r>
            <w:r w:rsidR="00FF642F">
              <w:rPr>
                <w:noProof/>
                <w:webHidden/>
              </w:rPr>
              <w:tab/>
            </w:r>
            <w:r w:rsidR="00FF642F">
              <w:rPr>
                <w:noProof/>
                <w:webHidden/>
              </w:rPr>
              <w:fldChar w:fldCharType="begin"/>
            </w:r>
            <w:r w:rsidR="00FF642F">
              <w:rPr>
                <w:noProof/>
                <w:webHidden/>
              </w:rPr>
              <w:instrText xml:space="preserve"> PAGEREF _Toc18592031 \h </w:instrText>
            </w:r>
            <w:r w:rsidR="00FF642F">
              <w:rPr>
                <w:noProof/>
                <w:webHidden/>
              </w:rPr>
            </w:r>
            <w:r w:rsidR="00FF642F">
              <w:rPr>
                <w:noProof/>
                <w:webHidden/>
              </w:rPr>
              <w:fldChar w:fldCharType="separate"/>
            </w:r>
            <w:r w:rsidR="00FF642F">
              <w:rPr>
                <w:noProof/>
                <w:webHidden/>
              </w:rPr>
              <w:t>27</w:t>
            </w:r>
            <w:r w:rsidR="00FF642F">
              <w:rPr>
                <w:noProof/>
                <w:webHidden/>
              </w:rPr>
              <w:fldChar w:fldCharType="end"/>
            </w:r>
          </w:hyperlink>
        </w:p>
        <w:p w14:paraId="0B634204" w14:textId="79700EB2" w:rsidR="00FF642F" w:rsidRDefault="009172C5">
          <w:pPr>
            <w:pStyle w:val="TOC1"/>
            <w:rPr>
              <w:rFonts w:eastAsiaTheme="minorEastAsia"/>
              <w:noProof/>
              <w:lang w:eastAsia="en-AU"/>
            </w:rPr>
          </w:pPr>
          <w:hyperlink w:anchor="_Toc18592032" w:history="1">
            <w:r w:rsidR="00FF642F" w:rsidRPr="008E587F">
              <w:rPr>
                <w:rStyle w:val="Hyperlink"/>
                <w:noProof/>
              </w:rPr>
              <w:t>D.</w:t>
            </w:r>
            <w:r w:rsidR="00FF642F">
              <w:rPr>
                <w:rFonts w:eastAsiaTheme="minorEastAsia"/>
                <w:noProof/>
                <w:lang w:eastAsia="en-AU"/>
              </w:rPr>
              <w:tab/>
            </w:r>
            <w:r w:rsidR="00FF642F" w:rsidRPr="008E587F">
              <w:rPr>
                <w:rStyle w:val="Hyperlink"/>
                <w:noProof/>
              </w:rPr>
              <w:t>The NELP Reference Design – An Unacceptable Outcome</w:t>
            </w:r>
            <w:r w:rsidR="00FF642F">
              <w:rPr>
                <w:noProof/>
                <w:webHidden/>
              </w:rPr>
              <w:tab/>
            </w:r>
            <w:r w:rsidR="00FF642F">
              <w:rPr>
                <w:noProof/>
                <w:webHidden/>
              </w:rPr>
              <w:fldChar w:fldCharType="begin"/>
            </w:r>
            <w:r w:rsidR="00FF642F">
              <w:rPr>
                <w:noProof/>
                <w:webHidden/>
              </w:rPr>
              <w:instrText xml:space="preserve"> PAGEREF _Toc18592032 \h </w:instrText>
            </w:r>
            <w:r w:rsidR="00FF642F">
              <w:rPr>
                <w:noProof/>
                <w:webHidden/>
              </w:rPr>
            </w:r>
            <w:r w:rsidR="00FF642F">
              <w:rPr>
                <w:noProof/>
                <w:webHidden/>
              </w:rPr>
              <w:fldChar w:fldCharType="separate"/>
            </w:r>
            <w:r w:rsidR="00FF642F">
              <w:rPr>
                <w:noProof/>
                <w:webHidden/>
              </w:rPr>
              <w:t>31</w:t>
            </w:r>
            <w:r w:rsidR="00FF642F">
              <w:rPr>
                <w:noProof/>
                <w:webHidden/>
              </w:rPr>
              <w:fldChar w:fldCharType="end"/>
            </w:r>
          </w:hyperlink>
        </w:p>
        <w:p w14:paraId="79E848CD" w14:textId="58D0A0ED" w:rsidR="00FF642F" w:rsidRDefault="009172C5">
          <w:pPr>
            <w:pStyle w:val="TOC1"/>
            <w:rPr>
              <w:rFonts w:eastAsiaTheme="minorEastAsia"/>
              <w:noProof/>
              <w:lang w:eastAsia="en-AU"/>
            </w:rPr>
          </w:pPr>
          <w:hyperlink w:anchor="_Toc18592033" w:history="1">
            <w:r w:rsidR="00FF642F" w:rsidRPr="008E587F">
              <w:rPr>
                <w:rStyle w:val="Hyperlink"/>
                <w:noProof/>
              </w:rPr>
              <w:t>E.</w:t>
            </w:r>
            <w:r w:rsidR="00FF642F">
              <w:rPr>
                <w:rFonts w:eastAsiaTheme="minorEastAsia"/>
                <w:noProof/>
                <w:lang w:eastAsia="en-AU"/>
              </w:rPr>
              <w:tab/>
            </w:r>
            <w:r w:rsidR="00FF642F" w:rsidRPr="008E587F">
              <w:rPr>
                <w:rStyle w:val="Hyperlink"/>
                <w:noProof/>
              </w:rPr>
              <w:t>Appendices</w:t>
            </w:r>
            <w:r w:rsidR="00FF642F">
              <w:rPr>
                <w:noProof/>
                <w:webHidden/>
              </w:rPr>
              <w:tab/>
            </w:r>
            <w:r w:rsidR="00FF642F">
              <w:rPr>
                <w:noProof/>
                <w:webHidden/>
              </w:rPr>
              <w:fldChar w:fldCharType="begin"/>
            </w:r>
            <w:r w:rsidR="00FF642F">
              <w:rPr>
                <w:noProof/>
                <w:webHidden/>
              </w:rPr>
              <w:instrText xml:space="preserve"> PAGEREF _Toc18592033 \h </w:instrText>
            </w:r>
            <w:r w:rsidR="00FF642F">
              <w:rPr>
                <w:noProof/>
                <w:webHidden/>
              </w:rPr>
            </w:r>
            <w:r w:rsidR="00FF642F">
              <w:rPr>
                <w:noProof/>
                <w:webHidden/>
              </w:rPr>
              <w:fldChar w:fldCharType="separate"/>
            </w:r>
            <w:r w:rsidR="00FF642F">
              <w:rPr>
                <w:noProof/>
                <w:webHidden/>
              </w:rPr>
              <w:t>34</w:t>
            </w:r>
            <w:r w:rsidR="00FF642F">
              <w:rPr>
                <w:noProof/>
                <w:webHidden/>
              </w:rPr>
              <w:fldChar w:fldCharType="end"/>
            </w:r>
          </w:hyperlink>
        </w:p>
        <w:p w14:paraId="1B5F4588" w14:textId="3E18B88B" w:rsidR="00023723" w:rsidRDefault="00023723">
          <w:r>
            <w:rPr>
              <w:b/>
              <w:bCs/>
              <w:noProof/>
            </w:rPr>
            <w:fldChar w:fldCharType="end"/>
          </w:r>
        </w:p>
      </w:sdtContent>
    </w:sdt>
    <w:p w14:paraId="5F3BEF13" w14:textId="149E5C5A" w:rsidR="0023763D" w:rsidRDefault="0023763D">
      <w:r>
        <w:br w:type="page"/>
      </w:r>
    </w:p>
    <w:p w14:paraId="1A49B68C" w14:textId="77777777" w:rsidR="002D0709" w:rsidRDefault="002D0709"/>
    <w:p w14:paraId="194F8EF6" w14:textId="10B4E660" w:rsidR="004874BA" w:rsidRPr="00D61FB9" w:rsidRDefault="00237050" w:rsidP="009D3296">
      <w:pPr>
        <w:pStyle w:val="Heading1"/>
        <w:numPr>
          <w:ilvl w:val="0"/>
          <w:numId w:val="42"/>
        </w:numPr>
        <w:ind w:left="360"/>
      </w:pPr>
      <w:bookmarkStart w:id="0" w:name="_Toc18573002"/>
      <w:bookmarkStart w:id="1" w:name="_Toc18592015"/>
      <w:r w:rsidRPr="009D3296">
        <w:t>The Yarra Riverkeeper Association</w:t>
      </w:r>
      <w:bookmarkEnd w:id="0"/>
      <w:bookmarkEnd w:id="1"/>
    </w:p>
    <w:p w14:paraId="1C2C2BCA" w14:textId="77777777" w:rsidR="00E24C11" w:rsidRDefault="00E24C11" w:rsidP="00E24C11">
      <w:pPr>
        <w:pStyle w:val="ListParagraph"/>
        <w:ind w:left="426"/>
        <w:rPr>
          <w:color w:val="FF0000"/>
        </w:rPr>
      </w:pPr>
    </w:p>
    <w:p w14:paraId="6598B59A" w14:textId="3BD5D7EF" w:rsidR="004277A1" w:rsidRDefault="004277A1" w:rsidP="00024472">
      <w:pPr>
        <w:pStyle w:val="ListParagraph"/>
        <w:numPr>
          <w:ilvl w:val="0"/>
          <w:numId w:val="6"/>
        </w:numPr>
        <w:ind w:left="426"/>
      </w:pPr>
      <w:r w:rsidRPr="00FC378C">
        <w:t xml:space="preserve">We act for the Yarra </w:t>
      </w:r>
      <w:proofErr w:type="spellStart"/>
      <w:r w:rsidRPr="00FC378C">
        <w:t>Riverkeeper</w:t>
      </w:r>
      <w:proofErr w:type="spellEnd"/>
      <w:r w:rsidRPr="00FC378C">
        <w:t xml:space="preserve"> Association Inc. (</w:t>
      </w:r>
      <w:r w:rsidRPr="00FC378C">
        <w:rPr>
          <w:b/>
        </w:rPr>
        <w:t xml:space="preserve">‘Yarra </w:t>
      </w:r>
      <w:proofErr w:type="spellStart"/>
      <w:r w:rsidRPr="00FC378C">
        <w:rPr>
          <w:b/>
        </w:rPr>
        <w:t>Riverkeeper</w:t>
      </w:r>
      <w:proofErr w:type="spellEnd"/>
      <w:r w:rsidRPr="00FC378C">
        <w:rPr>
          <w:b/>
        </w:rPr>
        <w:t>’</w:t>
      </w:r>
      <w:r w:rsidRPr="00FC378C">
        <w:t>).</w:t>
      </w:r>
    </w:p>
    <w:p w14:paraId="15C9CD75" w14:textId="77777777" w:rsidR="00C2385E" w:rsidRDefault="00C2385E" w:rsidP="00024472">
      <w:pPr>
        <w:pStyle w:val="ListParagraph"/>
        <w:ind w:left="426"/>
      </w:pPr>
    </w:p>
    <w:p w14:paraId="60AD7618" w14:textId="54D13726" w:rsidR="00AA2E46" w:rsidRDefault="00AA2E46" w:rsidP="00024472">
      <w:pPr>
        <w:pStyle w:val="ListParagraph"/>
        <w:numPr>
          <w:ilvl w:val="0"/>
          <w:numId w:val="6"/>
        </w:numPr>
        <w:ind w:left="426"/>
      </w:pPr>
      <w:r>
        <w:t xml:space="preserve">The Yarra </w:t>
      </w:r>
      <w:proofErr w:type="spellStart"/>
      <w:r>
        <w:t>Riverkeeper</w:t>
      </w:r>
      <w:proofErr w:type="spellEnd"/>
      <w:r>
        <w:t xml:space="preserve"> was formed in 2004 to provide a ‘voice’ for the Yarra River and its environs. </w:t>
      </w:r>
    </w:p>
    <w:p w14:paraId="132B35EB" w14:textId="77777777" w:rsidR="00C2385E" w:rsidRDefault="00C2385E" w:rsidP="009D3296">
      <w:pPr>
        <w:pStyle w:val="ListParagraph"/>
        <w:ind w:left="426"/>
      </w:pPr>
    </w:p>
    <w:p w14:paraId="041C656B" w14:textId="793D807F" w:rsidR="00AA2E46" w:rsidRDefault="00AA2E46" w:rsidP="00024472">
      <w:pPr>
        <w:pStyle w:val="ListParagraph"/>
        <w:numPr>
          <w:ilvl w:val="0"/>
          <w:numId w:val="6"/>
        </w:numPr>
        <w:ind w:left="426"/>
      </w:pPr>
      <w:r>
        <w:t xml:space="preserve">The Yarra </w:t>
      </w:r>
      <w:proofErr w:type="spellStart"/>
      <w:r>
        <w:t>Riverkeeper</w:t>
      </w:r>
      <w:proofErr w:type="spellEnd"/>
      <w:r>
        <w:t xml:space="preserve"> is an independent non-government organisation made up of citizen-advocates, the focus of whose work includes advocacy for the health, protection and restoration of the Yarra River and its environs, monitoring river health, and community education and engagement. </w:t>
      </w:r>
    </w:p>
    <w:p w14:paraId="01C918DF" w14:textId="77777777" w:rsidR="00C2385E" w:rsidRDefault="00C2385E" w:rsidP="009D3296">
      <w:pPr>
        <w:pStyle w:val="ListParagraph"/>
        <w:ind w:left="426"/>
      </w:pPr>
    </w:p>
    <w:p w14:paraId="3F595576" w14:textId="7A37BE0C" w:rsidR="00AA2E46" w:rsidRDefault="00AA2E46" w:rsidP="00024472">
      <w:pPr>
        <w:pStyle w:val="ListParagraph"/>
        <w:numPr>
          <w:ilvl w:val="0"/>
          <w:numId w:val="6"/>
        </w:numPr>
        <w:ind w:left="426"/>
      </w:pPr>
      <w:r>
        <w:t xml:space="preserve">The Yarra </w:t>
      </w:r>
      <w:proofErr w:type="spellStart"/>
      <w:r>
        <w:t>Riverkeeper</w:t>
      </w:r>
      <w:proofErr w:type="spellEnd"/>
      <w:r>
        <w:t xml:space="preserve"> is part of the world-wide network of river- and water-keeper organisations known as the </w:t>
      </w:r>
      <w:proofErr w:type="spellStart"/>
      <w:r>
        <w:t>Waterkeeper</w:t>
      </w:r>
      <w:proofErr w:type="spellEnd"/>
      <w:r>
        <w:t xml:space="preserve"> Alliance</w:t>
      </w:r>
      <w:r w:rsidR="00C51A2C">
        <w:t>.</w:t>
      </w:r>
      <w:r w:rsidR="00C51A2C">
        <w:rPr>
          <w:rStyle w:val="FootnoteReference"/>
        </w:rPr>
        <w:footnoteReference w:id="2"/>
      </w:r>
      <w:r w:rsidR="00C51A2C">
        <w:t xml:space="preserve"> The </w:t>
      </w:r>
      <w:proofErr w:type="spellStart"/>
      <w:r w:rsidR="00B717A9">
        <w:t>R</w:t>
      </w:r>
      <w:r w:rsidR="00C51A2C">
        <w:t>iverkeeper</w:t>
      </w:r>
      <w:proofErr w:type="spellEnd"/>
      <w:r w:rsidR="00C51A2C">
        <w:t xml:space="preserve"> model of advocacy, citizen science and education about waterways began in the 1970s in the United States</w:t>
      </w:r>
      <w:r w:rsidR="00B717A9">
        <w:t xml:space="preserve">. Today it extends to more than 300 </w:t>
      </w:r>
      <w:proofErr w:type="spellStart"/>
      <w:r w:rsidR="00B717A9">
        <w:t>Waterkeeper</w:t>
      </w:r>
      <w:proofErr w:type="spellEnd"/>
      <w:r w:rsidR="00B717A9">
        <w:t xml:space="preserve"> Organisations and affiliates across the world. </w:t>
      </w:r>
      <w:r w:rsidR="00C51A2C">
        <w:t xml:space="preserve"> </w:t>
      </w:r>
    </w:p>
    <w:p w14:paraId="2AFE6331" w14:textId="77777777" w:rsidR="00C2385E" w:rsidRDefault="00C2385E" w:rsidP="009D3296">
      <w:pPr>
        <w:pStyle w:val="ListParagraph"/>
        <w:ind w:left="426"/>
      </w:pPr>
    </w:p>
    <w:p w14:paraId="6CB824B8" w14:textId="59BC6886" w:rsidR="00EB1E51" w:rsidRDefault="00B717A9" w:rsidP="00E266EB">
      <w:pPr>
        <w:pStyle w:val="ListParagraph"/>
        <w:numPr>
          <w:ilvl w:val="0"/>
          <w:numId w:val="6"/>
        </w:numPr>
        <w:ind w:left="425" w:hanging="357"/>
      </w:pPr>
      <w:r w:rsidRPr="002E6CF1">
        <w:t>In recent years, t</w:t>
      </w:r>
      <w:r w:rsidR="00AA2E46" w:rsidRPr="003244C8">
        <w:t xml:space="preserve">he Yarra </w:t>
      </w:r>
      <w:proofErr w:type="spellStart"/>
      <w:r w:rsidR="00AA2E46" w:rsidRPr="003244C8">
        <w:t>Riverkeeper’s</w:t>
      </w:r>
      <w:proofErr w:type="spellEnd"/>
      <w:r w:rsidR="00AA2E46" w:rsidRPr="003244C8">
        <w:t xml:space="preserve"> advocacy for the Yarra River has included </w:t>
      </w:r>
      <w:r w:rsidR="00AA2E46" w:rsidRPr="00B86CA4">
        <w:t>advoca</w:t>
      </w:r>
      <w:r w:rsidRPr="00B86CA4">
        <w:t>ting</w:t>
      </w:r>
      <w:r w:rsidR="00AA2E46" w:rsidRPr="00B86CA4">
        <w:t xml:space="preserve"> for strengthened planning controls for the river corridor and for special purpose </w:t>
      </w:r>
      <w:r w:rsidR="001B47DB" w:rsidRPr="00B86CA4">
        <w:t>legislation for the</w:t>
      </w:r>
      <w:r w:rsidRPr="00B86CA4">
        <w:t xml:space="preserve"> river.</w:t>
      </w:r>
      <w:r w:rsidR="001B47DB" w:rsidRPr="00B86CA4">
        <w:t xml:space="preserve"> That advocacy contributed substantially to the design and passage of the </w:t>
      </w:r>
      <w:r w:rsidR="001B47DB" w:rsidRPr="00B86CA4">
        <w:rPr>
          <w:i/>
        </w:rPr>
        <w:t>Yarra River Protection (</w:t>
      </w:r>
      <w:proofErr w:type="spellStart"/>
      <w:r w:rsidR="001B47DB" w:rsidRPr="00B86CA4">
        <w:rPr>
          <w:i/>
        </w:rPr>
        <w:t>wilip</w:t>
      </w:r>
      <w:proofErr w:type="spellEnd"/>
      <w:r w:rsidR="001B47DB" w:rsidRPr="00B86CA4">
        <w:rPr>
          <w:i/>
        </w:rPr>
        <w:t xml:space="preserve">-gin </w:t>
      </w:r>
      <w:proofErr w:type="spellStart"/>
      <w:r w:rsidR="001B47DB" w:rsidRPr="00B86CA4">
        <w:rPr>
          <w:i/>
        </w:rPr>
        <w:t>Birrarung</w:t>
      </w:r>
      <w:proofErr w:type="spellEnd"/>
      <w:r w:rsidR="001B47DB" w:rsidRPr="00B86CA4">
        <w:rPr>
          <w:i/>
        </w:rPr>
        <w:t xml:space="preserve"> </w:t>
      </w:r>
      <w:proofErr w:type="spellStart"/>
      <w:r w:rsidR="001B47DB" w:rsidRPr="00B86CA4">
        <w:rPr>
          <w:i/>
        </w:rPr>
        <w:t>murron</w:t>
      </w:r>
      <w:proofErr w:type="spellEnd"/>
      <w:r w:rsidR="001B47DB" w:rsidRPr="00B86CA4">
        <w:rPr>
          <w:i/>
        </w:rPr>
        <w:t>) Act 2017</w:t>
      </w:r>
      <w:r w:rsidR="001B47DB" w:rsidRPr="00B86CA4">
        <w:t xml:space="preserve">, legislation </w:t>
      </w:r>
      <w:r w:rsidR="001B47DB" w:rsidRPr="009D3296">
        <w:t xml:space="preserve">that somewhat ironically exempts declared major transport projects from key provisions of that law but, as we shall submit, remains of relevance to the </w:t>
      </w:r>
      <w:r w:rsidR="00C518FB" w:rsidRPr="009D3296">
        <w:t>deliberations, findings and recommendations</w:t>
      </w:r>
      <w:r w:rsidR="002C6A4F">
        <w:t xml:space="preserve"> of the </w:t>
      </w:r>
      <w:r w:rsidR="002C6A4F" w:rsidRPr="002C6A4F">
        <w:t>North East Link Inquiry and Advisory Committee (</w:t>
      </w:r>
      <w:r w:rsidR="002C6A4F" w:rsidRPr="002C6A4F">
        <w:rPr>
          <w:b/>
          <w:bCs/>
        </w:rPr>
        <w:t>‘IAC’</w:t>
      </w:r>
      <w:r w:rsidR="002C6A4F" w:rsidRPr="002C6A4F">
        <w:t>)</w:t>
      </w:r>
      <w:r w:rsidR="002C6A4F">
        <w:t>.</w:t>
      </w:r>
    </w:p>
    <w:p w14:paraId="2C02D085" w14:textId="77777777" w:rsidR="00B538C2" w:rsidRDefault="00B538C2" w:rsidP="00B538C2"/>
    <w:p w14:paraId="41CF3727" w14:textId="3492E64C" w:rsidR="00EB1E51" w:rsidRPr="00B86CA4" w:rsidRDefault="00EB1E51" w:rsidP="009D3296">
      <w:pPr>
        <w:pStyle w:val="Heading2"/>
      </w:pPr>
      <w:bookmarkStart w:id="2" w:name="_Toc18573003"/>
      <w:bookmarkStart w:id="3" w:name="_Toc18592016"/>
      <w:r w:rsidRPr="002E6CF1">
        <w:t xml:space="preserve">The Yarra </w:t>
      </w:r>
      <w:proofErr w:type="spellStart"/>
      <w:r w:rsidRPr="002E6CF1">
        <w:t>Riverkeeper’s</w:t>
      </w:r>
      <w:proofErr w:type="spellEnd"/>
      <w:r w:rsidRPr="002E6CF1">
        <w:t xml:space="preserve"> interest in the </w:t>
      </w:r>
      <w:r>
        <w:t>North East Link Project</w:t>
      </w:r>
      <w:bookmarkEnd w:id="2"/>
      <w:bookmarkEnd w:id="3"/>
    </w:p>
    <w:p w14:paraId="5CB7BB22" w14:textId="3492E64C" w:rsidR="00EB1E51" w:rsidRDefault="00EB1E51" w:rsidP="00B538C2"/>
    <w:p w14:paraId="0DC7F359" w14:textId="560B520B" w:rsidR="002E6CF1" w:rsidRPr="00FC378C" w:rsidRDefault="002E6CF1" w:rsidP="009D3296">
      <w:pPr>
        <w:pStyle w:val="ListParagraph"/>
        <w:numPr>
          <w:ilvl w:val="0"/>
          <w:numId w:val="6"/>
        </w:numPr>
        <w:ind w:left="450"/>
      </w:pPr>
      <w:r w:rsidRPr="00FC378C">
        <w:t>We understand that the role of the</w:t>
      </w:r>
      <w:r w:rsidR="002C6A4F">
        <w:t xml:space="preserve"> IAC</w:t>
      </w:r>
      <w:r w:rsidR="007D5BFE">
        <w:t xml:space="preserve"> </w:t>
      </w:r>
      <w:r w:rsidRPr="00FC378C">
        <w:t xml:space="preserve">is to inquire into, and report on, the environmental effects of the </w:t>
      </w:r>
      <w:r w:rsidR="007D5BFE">
        <w:t>North East Link Project (</w:t>
      </w:r>
      <w:r w:rsidR="007D5BFE" w:rsidRPr="00B258E6">
        <w:rPr>
          <w:b/>
          <w:bCs/>
        </w:rPr>
        <w:t>‘NELP’</w:t>
      </w:r>
      <w:r w:rsidR="007D5BFE">
        <w:t>)</w:t>
      </w:r>
      <w:r w:rsidRPr="00FC378C">
        <w:t>.</w:t>
      </w:r>
      <w:r w:rsidRPr="00FC378C">
        <w:rPr>
          <w:rStyle w:val="FootnoteReference"/>
        </w:rPr>
        <w:footnoteReference w:id="3"/>
      </w:r>
      <w:r w:rsidRPr="00FC378C">
        <w:t xml:space="preserve"> In exercising its role, the IAC must review and consider all submissions and evidence provided by the proponent, state agencies, local government and the public.</w:t>
      </w:r>
      <w:r w:rsidRPr="00FC378C">
        <w:rPr>
          <w:rStyle w:val="FootnoteReference"/>
        </w:rPr>
        <w:footnoteReference w:id="4"/>
      </w:r>
      <w:r w:rsidRPr="00FC378C">
        <w:t xml:space="preserve"> The IAC will hear from a vast array of participants in the E</w:t>
      </w:r>
      <w:r>
        <w:t xml:space="preserve">nvironment </w:t>
      </w:r>
      <w:r w:rsidRPr="00FC378C">
        <w:t>E</w:t>
      </w:r>
      <w:r>
        <w:t xml:space="preserve">ffects </w:t>
      </w:r>
      <w:r w:rsidRPr="00FC378C">
        <w:t>S</w:t>
      </w:r>
      <w:r>
        <w:t>tatement (</w:t>
      </w:r>
      <w:r w:rsidRPr="00B258E6">
        <w:rPr>
          <w:b/>
          <w:bCs/>
        </w:rPr>
        <w:t>‘EES’</w:t>
      </w:r>
      <w:r>
        <w:t>)</w:t>
      </w:r>
      <w:r w:rsidRPr="00FC378C">
        <w:t xml:space="preserve"> process, with varying levels of shared and/or conflicting interests and concerns.</w:t>
      </w:r>
    </w:p>
    <w:p w14:paraId="4ACF6856" w14:textId="77777777" w:rsidR="002E6CF1" w:rsidRPr="00FC378C" w:rsidRDefault="002E6CF1" w:rsidP="009D3296">
      <w:pPr>
        <w:pStyle w:val="ListParagraph"/>
        <w:ind w:left="450"/>
      </w:pPr>
    </w:p>
    <w:p w14:paraId="29C1E055" w14:textId="2187C5D4" w:rsidR="002E6CF1" w:rsidRDefault="002E6CF1" w:rsidP="009D3296">
      <w:pPr>
        <w:pStyle w:val="ListParagraph"/>
        <w:numPr>
          <w:ilvl w:val="0"/>
          <w:numId w:val="6"/>
        </w:numPr>
        <w:ind w:left="450"/>
      </w:pPr>
      <w:r w:rsidRPr="00FC378C">
        <w:t xml:space="preserve">Within the constellation of participants, </w:t>
      </w:r>
      <w:r w:rsidR="007D5BFE">
        <w:t xml:space="preserve">the Yarra </w:t>
      </w:r>
      <w:proofErr w:type="spellStart"/>
      <w:r w:rsidR="007D5BFE">
        <w:t>Riverkeeper</w:t>
      </w:r>
      <w:proofErr w:type="spellEnd"/>
      <w:r w:rsidR="007D5BFE">
        <w:t xml:space="preserve"> is a voice for the Yarra River and its environs. This is to be contrasted with the </w:t>
      </w:r>
      <w:r w:rsidRPr="00FC378C">
        <w:t>proponent</w:t>
      </w:r>
      <w:r w:rsidR="007D5BFE">
        <w:t>,</w:t>
      </w:r>
      <w:r w:rsidRPr="00FC378C">
        <w:t xml:space="preserve"> </w:t>
      </w:r>
      <w:r w:rsidR="007D5BFE">
        <w:t>who</w:t>
      </w:r>
      <w:r w:rsidRPr="00FC378C">
        <w:t xml:space="preserve"> speaks for the road. </w:t>
      </w:r>
      <w:r>
        <w:t>T</w:t>
      </w:r>
      <w:r w:rsidRPr="00FC378C">
        <w:t>he</w:t>
      </w:r>
      <w:r w:rsidR="007D5BFE">
        <w:t xml:space="preserve"> Yarra </w:t>
      </w:r>
      <w:proofErr w:type="spellStart"/>
      <w:r w:rsidR="007D5BFE">
        <w:t>Riverkeeper</w:t>
      </w:r>
      <w:proofErr w:type="spellEnd"/>
      <w:r w:rsidR="007D5BFE">
        <w:t xml:space="preserve"> applauds the local</w:t>
      </w:r>
      <w:r w:rsidRPr="00FC378C">
        <w:t xml:space="preserve"> councils</w:t>
      </w:r>
      <w:r w:rsidR="007D5BFE">
        <w:t>, who</w:t>
      </w:r>
      <w:r w:rsidRPr="00FC378C">
        <w:t xml:space="preserve"> speak for the interests of their respective communities</w:t>
      </w:r>
      <w:r>
        <w:t>.</w:t>
      </w:r>
    </w:p>
    <w:p w14:paraId="60CF7E3A" w14:textId="77777777" w:rsidR="002E6CF1" w:rsidRDefault="002E6CF1" w:rsidP="009D3296">
      <w:pPr>
        <w:pStyle w:val="ListParagraph"/>
        <w:ind w:left="450"/>
      </w:pPr>
    </w:p>
    <w:p w14:paraId="000AD27D" w14:textId="330DF4E1" w:rsidR="00EB1E51" w:rsidRDefault="00EB1E51" w:rsidP="009D3296">
      <w:pPr>
        <w:pStyle w:val="ListParagraph"/>
        <w:numPr>
          <w:ilvl w:val="0"/>
          <w:numId w:val="6"/>
        </w:numPr>
        <w:ind w:left="450"/>
      </w:pPr>
      <w:r>
        <w:lastRenderedPageBreak/>
        <w:t xml:space="preserve">As a ‘voice’ for the Yarra River and its environs, the Yarra </w:t>
      </w:r>
      <w:proofErr w:type="spellStart"/>
      <w:r>
        <w:t>Riverkeeper</w:t>
      </w:r>
      <w:proofErr w:type="spellEnd"/>
      <w:r>
        <w:t xml:space="preserve"> is concerned about the impact of the </w:t>
      </w:r>
      <w:r w:rsidR="007D5BFE">
        <w:t xml:space="preserve">NELP </w:t>
      </w:r>
      <w:r>
        <w:t xml:space="preserve">on the Yarra River corridor, </w:t>
      </w:r>
      <w:r w:rsidRPr="00FC378C">
        <w:t xml:space="preserve">its tributaries, and </w:t>
      </w:r>
      <w:r>
        <w:t xml:space="preserve">the affected </w:t>
      </w:r>
      <w:r w:rsidR="0034388F">
        <w:t xml:space="preserve">parklands and </w:t>
      </w:r>
      <w:r>
        <w:t>natural or ‘naturalistic’ ecosystems</w:t>
      </w:r>
      <w:r w:rsidR="0034388F" w:rsidRPr="0034388F">
        <w:t xml:space="preserve"> on the remnant floodplains</w:t>
      </w:r>
      <w:r w:rsidRPr="00FC378C">
        <w:t>.</w:t>
      </w:r>
      <w:r>
        <w:t xml:space="preserve"> The evidence before the </w:t>
      </w:r>
      <w:r w:rsidRPr="003244C8">
        <w:t>IAC</w:t>
      </w:r>
      <w:r w:rsidRPr="00EB1E51">
        <w:t xml:space="preserve"> </w:t>
      </w:r>
      <w:r>
        <w:t>demonstrates that the project as proposed will impact these features in significant ways.</w:t>
      </w:r>
    </w:p>
    <w:p w14:paraId="3A39C314" w14:textId="77777777" w:rsidR="00EB1E51" w:rsidRDefault="00EB1E51" w:rsidP="009D3296">
      <w:pPr>
        <w:pStyle w:val="ListParagraph"/>
        <w:ind w:left="450"/>
      </w:pPr>
    </w:p>
    <w:p w14:paraId="54FD9C8C" w14:textId="77777777" w:rsidR="00EB1E51" w:rsidRDefault="00EB1E51" w:rsidP="009D3296">
      <w:pPr>
        <w:pStyle w:val="ListParagraph"/>
        <w:numPr>
          <w:ilvl w:val="0"/>
          <w:numId w:val="6"/>
        </w:numPr>
        <w:ind w:left="450"/>
      </w:pPr>
      <w:r>
        <w:t xml:space="preserve">The Yarra </w:t>
      </w:r>
      <w:proofErr w:type="spellStart"/>
      <w:r>
        <w:t>Riverkeeper’s</w:t>
      </w:r>
      <w:proofErr w:type="spellEnd"/>
      <w:r>
        <w:t xml:space="preserve"> interests are also wider than the direct or indirect impacts on the Yarra River and its immediate environs. The Yarra </w:t>
      </w:r>
      <w:proofErr w:type="spellStart"/>
      <w:r>
        <w:t>Riverkeeper</w:t>
      </w:r>
      <w:proofErr w:type="spellEnd"/>
      <w:r>
        <w:t xml:space="preserve"> recognises the broader public interest in a protected, strengthened and flourishing urban ecosystem. </w:t>
      </w:r>
    </w:p>
    <w:p w14:paraId="206B9CE0" w14:textId="77777777" w:rsidR="00EB1E51" w:rsidRDefault="00EB1E51" w:rsidP="009D3296">
      <w:pPr>
        <w:pStyle w:val="ListParagraph"/>
        <w:ind w:left="450"/>
      </w:pPr>
    </w:p>
    <w:p w14:paraId="1D09E9AD" w14:textId="20BE1B59" w:rsidR="00C36BF3" w:rsidRDefault="007D5BFE" w:rsidP="009D3296">
      <w:pPr>
        <w:pStyle w:val="ListParagraph"/>
        <w:numPr>
          <w:ilvl w:val="0"/>
          <w:numId w:val="6"/>
        </w:numPr>
        <w:ind w:left="450"/>
      </w:pPr>
      <w:r>
        <w:t>It is recognised that w</w:t>
      </w:r>
      <w:r w:rsidR="00EB1E51">
        <w:t xml:space="preserve">hile the Yarra River is the centrepiece of Melbourne’s urban environment in the east and northeast, it is also part of a wider urban ecology. The </w:t>
      </w:r>
      <w:r w:rsidR="0034388F">
        <w:t>river</w:t>
      </w:r>
      <w:r w:rsidR="00EB1E51">
        <w:t xml:space="preserve"> corridor is central but not isolated. For instance, the</w:t>
      </w:r>
      <w:r w:rsidR="0034388F">
        <w:t xml:space="preserve"> Yarra River corridor </w:t>
      </w:r>
      <w:r>
        <w:t>is</w:t>
      </w:r>
      <w:r w:rsidR="0034388F">
        <w:t xml:space="preserve"> the core of</w:t>
      </w:r>
      <w:r>
        <w:t xml:space="preserve"> the </w:t>
      </w:r>
      <w:r w:rsidR="00EB1E51">
        <w:t>‘urban forest’</w:t>
      </w:r>
      <w:r w:rsidR="0034388F">
        <w:t>, but i</w:t>
      </w:r>
      <w:r>
        <w:t>t</w:t>
      </w:r>
      <w:r w:rsidR="0034388F">
        <w:t xml:space="preserve"> also </w:t>
      </w:r>
      <w:r w:rsidR="00EB1E51">
        <w:t xml:space="preserve">connects </w:t>
      </w:r>
      <w:r w:rsidR="0034388F">
        <w:t xml:space="preserve">the </w:t>
      </w:r>
      <w:r w:rsidR="00EB1E51">
        <w:t>maturing tree canopy across the region, whether remnant or ‘planted’.</w:t>
      </w:r>
    </w:p>
    <w:p w14:paraId="6CE31933" w14:textId="4DFE0C8C" w:rsidR="00EB1E51" w:rsidRDefault="00EB1E51" w:rsidP="009D3296">
      <w:pPr>
        <w:pStyle w:val="ListParagraph"/>
        <w:ind w:left="450"/>
      </w:pPr>
    </w:p>
    <w:p w14:paraId="1501A478" w14:textId="2DD41853" w:rsidR="00C36BF3" w:rsidRDefault="007D5BFE" w:rsidP="009D3296">
      <w:pPr>
        <w:pStyle w:val="ListParagraph"/>
        <w:numPr>
          <w:ilvl w:val="0"/>
          <w:numId w:val="6"/>
        </w:numPr>
        <w:ind w:left="450"/>
      </w:pPr>
      <w:r>
        <w:t>T</w:t>
      </w:r>
      <w:r w:rsidR="00FF37A3">
        <w:t>hese submissions</w:t>
      </w:r>
      <w:r w:rsidR="008F3C7B">
        <w:t xml:space="preserve"> </w:t>
      </w:r>
      <w:r w:rsidR="00EF4CF1">
        <w:t xml:space="preserve">address the following, with reference to </w:t>
      </w:r>
      <w:r w:rsidR="008F3C7B">
        <w:t xml:space="preserve">the NELP as </w:t>
      </w:r>
      <w:r w:rsidR="00EF6577">
        <w:t xml:space="preserve">proposed </w:t>
      </w:r>
      <w:r w:rsidR="008F3C7B">
        <w:t xml:space="preserve">in the </w:t>
      </w:r>
      <w:r w:rsidR="00EF4CF1">
        <w:t>R</w:t>
      </w:r>
      <w:r w:rsidR="008F3C7B">
        <w:t>eference</w:t>
      </w:r>
      <w:r w:rsidR="007E5A7A">
        <w:t xml:space="preserve"> </w:t>
      </w:r>
      <w:r w:rsidR="00EF4CF1">
        <w:t>D</w:t>
      </w:r>
      <w:r w:rsidR="007E5A7A">
        <w:t>esign and E</w:t>
      </w:r>
      <w:r w:rsidR="00EF6577">
        <w:t xml:space="preserve">nvironmental </w:t>
      </w:r>
      <w:r w:rsidR="007E5A7A">
        <w:t>M</w:t>
      </w:r>
      <w:r w:rsidR="00EF6577">
        <w:t xml:space="preserve">anagement </w:t>
      </w:r>
      <w:r w:rsidR="007E5A7A">
        <w:t>F</w:t>
      </w:r>
      <w:r w:rsidR="00EF6577">
        <w:t>ramework (</w:t>
      </w:r>
      <w:r w:rsidR="00EF6577" w:rsidRPr="009D3296">
        <w:rPr>
          <w:b/>
          <w:bCs/>
        </w:rPr>
        <w:t>‘EMF’</w:t>
      </w:r>
      <w:r w:rsidR="00EF6577">
        <w:t>)</w:t>
      </w:r>
      <w:r w:rsidR="008F3C7B">
        <w:t>:</w:t>
      </w:r>
    </w:p>
    <w:p w14:paraId="27F03706" w14:textId="77777777" w:rsidR="008F3C7B" w:rsidRDefault="008F3C7B" w:rsidP="008F3C7B">
      <w:pPr>
        <w:pStyle w:val="ListParagraph"/>
      </w:pPr>
    </w:p>
    <w:p w14:paraId="76EC9BD4" w14:textId="7AF64B80" w:rsidR="003827E4" w:rsidRDefault="003827E4" w:rsidP="009D3296">
      <w:pPr>
        <w:pStyle w:val="ListParagraph"/>
        <w:numPr>
          <w:ilvl w:val="1"/>
          <w:numId w:val="6"/>
        </w:numPr>
        <w:ind w:left="990"/>
      </w:pPr>
      <w:r>
        <w:t>t</w:t>
      </w:r>
      <w:r w:rsidR="009845A0">
        <w:t>he general approach to be taken to large-scale urban infrastructure projects in the contemporary setting</w:t>
      </w:r>
      <w:r>
        <w:t>;</w:t>
      </w:r>
    </w:p>
    <w:p w14:paraId="1E3BFA67" w14:textId="77777777" w:rsidR="003827E4" w:rsidRDefault="003827E4" w:rsidP="009D3296">
      <w:pPr>
        <w:pStyle w:val="ListParagraph"/>
        <w:ind w:left="990"/>
      </w:pPr>
    </w:p>
    <w:p w14:paraId="598F0F33" w14:textId="0EA8B4BF" w:rsidR="003827E4" w:rsidRDefault="003827E4" w:rsidP="009D3296">
      <w:pPr>
        <w:pStyle w:val="ListParagraph"/>
        <w:numPr>
          <w:ilvl w:val="1"/>
          <w:numId w:val="6"/>
        </w:numPr>
        <w:ind w:left="990"/>
      </w:pPr>
      <w:r>
        <w:t>i</w:t>
      </w:r>
      <w:r w:rsidR="007E5A7A">
        <w:t xml:space="preserve">mpacts on the Yarra River and floodplain, including Bolin </w:t>
      </w:r>
      <w:proofErr w:type="spellStart"/>
      <w:r w:rsidR="007E5A7A">
        <w:t>Bolin</w:t>
      </w:r>
      <w:proofErr w:type="spellEnd"/>
      <w:r w:rsidR="007E5A7A">
        <w:t xml:space="preserve"> Billabong</w:t>
      </w:r>
      <w:r>
        <w:t>;</w:t>
      </w:r>
    </w:p>
    <w:p w14:paraId="6257E389" w14:textId="77777777" w:rsidR="003827E4" w:rsidRDefault="003827E4" w:rsidP="009D3296">
      <w:pPr>
        <w:pStyle w:val="ListParagraph"/>
        <w:ind w:left="990"/>
      </w:pPr>
    </w:p>
    <w:p w14:paraId="5FC740D5" w14:textId="792AB7D5" w:rsidR="007E5A7A" w:rsidRDefault="003827E4" w:rsidP="009D3296">
      <w:pPr>
        <w:pStyle w:val="ListParagraph"/>
        <w:numPr>
          <w:ilvl w:val="1"/>
          <w:numId w:val="6"/>
        </w:numPr>
        <w:ind w:left="990"/>
      </w:pPr>
      <w:r>
        <w:t>i</w:t>
      </w:r>
      <w:r w:rsidR="009845A0">
        <w:t xml:space="preserve">mpacts on tributaries, including </w:t>
      </w:r>
      <w:proofErr w:type="spellStart"/>
      <w:r w:rsidR="009845A0">
        <w:t>Koonung</w:t>
      </w:r>
      <w:proofErr w:type="spellEnd"/>
      <w:r w:rsidR="009845A0">
        <w:t xml:space="preserve"> Creek reserve and Banyule Creek</w:t>
      </w:r>
      <w:r>
        <w:t>;</w:t>
      </w:r>
    </w:p>
    <w:p w14:paraId="626ABD05" w14:textId="77777777" w:rsidR="003827E4" w:rsidRDefault="003827E4" w:rsidP="009D3296">
      <w:pPr>
        <w:pStyle w:val="ListParagraph"/>
        <w:ind w:left="990"/>
      </w:pPr>
    </w:p>
    <w:p w14:paraId="75CF1B35" w14:textId="65E56909" w:rsidR="009845A0" w:rsidRDefault="003827E4" w:rsidP="009D3296">
      <w:pPr>
        <w:pStyle w:val="ListParagraph"/>
        <w:numPr>
          <w:ilvl w:val="1"/>
          <w:numId w:val="6"/>
        </w:numPr>
        <w:ind w:left="990"/>
      </w:pPr>
      <w:r>
        <w:t>i</w:t>
      </w:r>
      <w:r w:rsidR="009845A0">
        <w:t>mpacts on urban ecology, including native vegetation, ‘amenity’ vegetation and threatened species</w:t>
      </w:r>
      <w:r>
        <w:t>; and</w:t>
      </w:r>
    </w:p>
    <w:p w14:paraId="7FA10686" w14:textId="77777777" w:rsidR="003827E4" w:rsidRDefault="003827E4" w:rsidP="009D3296">
      <w:pPr>
        <w:pStyle w:val="ListParagraph"/>
        <w:ind w:left="990"/>
      </w:pPr>
    </w:p>
    <w:p w14:paraId="7ED829CC" w14:textId="025ABDB0" w:rsidR="009845A0" w:rsidRDefault="003827E4" w:rsidP="009D3296">
      <w:pPr>
        <w:pStyle w:val="ListParagraph"/>
        <w:numPr>
          <w:ilvl w:val="1"/>
          <w:numId w:val="6"/>
        </w:numPr>
        <w:ind w:left="990"/>
      </w:pPr>
      <w:r>
        <w:t>t</w:t>
      </w:r>
      <w:r w:rsidR="00C04067">
        <w:t>he EMF and E</w:t>
      </w:r>
      <w:r>
        <w:t xml:space="preserve">nvironmental </w:t>
      </w:r>
      <w:r w:rsidR="00C04067">
        <w:t>P</w:t>
      </w:r>
      <w:r>
        <w:t xml:space="preserve">erformance </w:t>
      </w:r>
      <w:r w:rsidR="00C04067">
        <w:t>R</w:t>
      </w:r>
      <w:r>
        <w:t>equirements (</w:t>
      </w:r>
      <w:r w:rsidRPr="009D3296">
        <w:rPr>
          <w:b/>
          <w:bCs/>
        </w:rPr>
        <w:t>‘EPR’</w:t>
      </w:r>
      <w:r>
        <w:t>)</w:t>
      </w:r>
      <w:r w:rsidR="00C04067">
        <w:t xml:space="preserve"> and whether and how these contribute to acceptability</w:t>
      </w:r>
      <w:r>
        <w:t>.</w:t>
      </w:r>
    </w:p>
    <w:p w14:paraId="197F4A6B" w14:textId="77777777" w:rsidR="00304CD4" w:rsidRDefault="00304CD4" w:rsidP="009D3296"/>
    <w:p w14:paraId="6B69943E" w14:textId="032BC78B" w:rsidR="009C2FB9" w:rsidRPr="00D61FB9" w:rsidRDefault="004C50FC" w:rsidP="009D3296">
      <w:pPr>
        <w:pStyle w:val="Heading1"/>
        <w:numPr>
          <w:ilvl w:val="0"/>
          <w:numId w:val="42"/>
        </w:numPr>
        <w:ind w:left="360"/>
      </w:pPr>
      <w:bookmarkStart w:id="4" w:name="_Toc18573004"/>
      <w:bookmarkStart w:id="5" w:name="_Toc18592017"/>
      <w:r>
        <w:t>A Contemporary Approach</w:t>
      </w:r>
      <w:r w:rsidRPr="00E333B2">
        <w:t xml:space="preserve"> </w:t>
      </w:r>
      <w:r>
        <w:t xml:space="preserve">to </w:t>
      </w:r>
      <w:r w:rsidR="00F40B0A" w:rsidRPr="00E333B2">
        <w:t xml:space="preserve">Large-scale </w:t>
      </w:r>
      <w:r>
        <w:t>U</w:t>
      </w:r>
      <w:r w:rsidR="00F40B0A" w:rsidRPr="00E333B2">
        <w:t xml:space="preserve">rban </w:t>
      </w:r>
      <w:r>
        <w:t>I</w:t>
      </w:r>
      <w:r w:rsidR="00F40B0A" w:rsidRPr="00E333B2">
        <w:t xml:space="preserve">nfrastructure and </w:t>
      </w:r>
      <w:r>
        <w:t>U</w:t>
      </w:r>
      <w:r w:rsidR="00F40B0A" w:rsidRPr="00E333B2">
        <w:t xml:space="preserve">rban </w:t>
      </w:r>
      <w:r>
        <w:t>D</w:t>
      </w:r>
      <w:r w:rsidR="00F40B0A" w:rsidRPr="00E333B2">
        <w:t>esign</w:t>
      </w:r>
      <w:bookmarkEnd w:id="4"/>
      <w:bookmarkEnd w:id="5"/>
    </w:p>
    <w:p w14:paraId="7FA93716" w14:textId="77777777" w:rsidR="009C2FB9" w:rsidRDefault="009C2FB9" w:rsidP="009D3296">
      <w:pPr>
        <w:pStyle w:val="ListParagraph"/>
        <w:ind w:left="426"/>
      </w:pPr>
    </w:p>
    <w:p w14:paraId="7A5883C8" w14:textId="23E3B2F0" w:rsidR="007E5E0A" w:rsidRDefault="007E5E0A" w:rsidP="009D3296">
      <w:pPr>
        <w:pStyle w:val="ListParagraph"/>
        <w:numPr>
          <w:ilvl w:val="0"/>
          <w:numId w:val="6"/>
        </w:numPr>
        <w:ind w:left="360"/>
      </w:pPr>
      <w:r>
        <w:t>With respect to</w:t>
      </w:r>
      <w:r w:rsidR="00B86CA4">
        <w:t xml:space="preserve"> urban infrastructure and urban design, t</w:t>
      </w:r>
      <w:r w:rsidR="00DC7F0A">
        <w:t xml:space="preserve">he </w:t>
      </w:r>
      <w:r w:rsidR="000C0E24">
        <w:t>days of viewing</w:t>
      </w:r>
      <w:r w:rsidR="00DC7F0A">
        <w:t xml:space="preserve"> ecological </w:t>
      </w:r>
      <w:r w:rsidR="00AB52F7">
        <w:t xml:space="preserve">values </w:t>
      </w:r>
      <w:r w:rsidR="00B86CA4">
        <w:t>as constraints or encumbrances</w:t>
      </w:r>
      <w:r w:rsidR="000C0E24">
        <w:t xml:space="preserve"> is coming to a</w:t>
      </w:r>
      <w:r w:rsidR="00B86CA4">
        <w:t>n end. It is increasingly recognised that n</w:t>
      </w:r>
      <w:r w:rsidR="000C0E24">
        <w:t xml:space="preserve">ature </w:t>
      </w:r>
      <w:r>
        <w:t>should be considered a</w:t>
      </w:r>
      <w:r w:rsidR="004F3395">
        <w:t>s a</w:t>
      </w:r>
      <w:r>
        <w:t>n</w:t>
      </w:r>
      <w:r w:rsidR="004F3395">
        <w:t xml:space="preserve"> opportunity</w:t>
      </w:r>
      <w:r>
        <w:t xml:space="preserve"> and asset</w:t>
      </w:r>
      <w:r w:rsidR="000C0E24">
        <w:t xml:space="preserve"> in design</w:t>
      </w:r>
      <w:r w:rsidR="00B86CA4">
        <w:t>ing</w:t>
      </w:r>
      <w:r w:rsidR="000C0E24">
        <w:t xml:space="preserve"> and deliver</w:t>
      </w:r>
      <w:r w:rsidR="00B86CA4">
        <w:t>ing urban infrastructure</w:t>
      </w:r>
      <w:r w:rsidR="000C0E24">
        <w:t xml:space="preserve">, </w:t>
      </w:r>
      <w:r>
        <w:t xml:space="preserve">rather than viewed as </w:t>
      </w:r>
      <w:r w:rsidR="000C0E24">
        <w:t>an impediment.</w:t>
      </w:r>
      <w:r w:rsidR="003F38DD">
        <w:t xml:space="preserve"> Simply implementing the vision of a road system in 1929 or the 1970s, in which ‘missing links’ need to be resolved, is not appropriate for 2019 or 2045. </w:t>
      </w:r>
    </w:p>
    <w:p w14:paraId="73799E5B" w14:textId="77777777" w:rsidR="00F40B0A" w:rsidRDefault="00F40B0A" w:rsidP="009D3296">
      <w:pPr>
        <w:pStyle w:val="ListParagraph"/>
        <w:ind w:left="360"/>
      </w:pPr>
    </w:p>
    <w:p w14:paraId="5494BFA3" w14:textId="5E9D5D73" w:rsidR="003F38DD" w:rsidRDefault="003F38DD" w:rsidP="009D3296">
      <w:pPr>
        <w:pStyle w:val="ListParagraph"/>
        <w:numPr>
          <w:ilvl w:val="0"/>
          <w:numId w:val="6"/>
        </w:numPr>
        <w:tabs>
          <w:tab w:val="left" w:pos="450"/>
        </w:tabs>
        <w:ind w:left="360"/>
      </w:pPr>
      <w:r w:rsidRPr="009D3296">
        <w:t xml:space="preserve">The IAC has heard evidence that the </w:t>
      </w:r>
      <w:r w:rsidR="00F40B0A">
        <w:t>strategic justification for NELP originat</w:t>
      </w:r>
      <w:r w:rsidR="007E5E0A">
        <w:t>es</w:t>
      </w:r>
      <w:r w:rsidR="00F40B0A">
        <w:t xml:space="preserve"> in the network of inter-connected and orbital metropolitan roads going back many decades.</w:t>
      </w:r>
      <w:r w:rsidR="007E5E0A">
        <w:rPr>
          <w:rStyle w:val="FootnoteReference"/>
        </w:rPr>
        <w:footnoteReference w:id="5"/>
      </w:r>
      <w:r w:rsidR="00F40B0A">
        <w:t xml:space="preserve"> </w:t>
      </w:r>
      <w:r w:rsidR="007E5E0A">
        <w:t xml:space="preserve">This is premised on the idea </w:t>
      </w:r>
      <w:r w:rsidR="00F40B0A">
        <w:t xml:space="preserve">of continually expanded population centres to Melbourne’s east and south-east, with the consequent need to include freeway-grade road connections between these centres and the north of Melbourne. Freight and logistic connections are viewed as particularly important. </w:t>
      </w:r>
    </w:p>
    <w:p w14:paraId="329025C5" w14:textId="77777777" w:rsidR="00F40B0A" w:rsidRDefault="00F40B0A" w:rsidP="009D3296">
      <w:pPr>
        <w:pStyle w:val="ListParagraph"/>
        <w:ind w:left="360"/>
      </w:pPr>
    </w:p>
    <w:p w14:paraId="5FDBF086" w14:textId="34FA8637" w:rsidR="003F38DD" w:rsidRDefault="00431986" w:rsidP="009D3296">
      <w:pPr>
        <w:pStyle w:val="ListParagraph"/>
        <w:numPr>
          <w:ilvl w:val="0"/>
          <w:numId w:val="6"/>
        </w:numPr>
        <w:tabs>
          <w:tab w:val="left" w:pos="540"/>
        </w:tabs>
        <w:ind w:left="360"/>
      </w:pPr>
      <w:r>
        <w:t xml:space="preserve">We will respond to some of the economic and transport assumptions contained in this approach further below, as they have been contested, effectively in our submission, by experts called by </w:t>
      </w:r>
      <w:r w:rsidR="009F5F7C">
        <w:t xml:space="preserve">the Councils. </w:t>
      </w:r>
      <w:r w:rsidR="003F38DD">
        <w:t>However</w:t>
      </w:r>
      <w:r w:rsidR="009F5F7C">
        <w:t xml:space="preserve">, even if the road </w:t>
      </w:r>
      <w:r w:rsidR="009F5F7C" w:rsidRPr="001B5C17">
        <w:rPr>
          <w:i/>
        </w:rPr>
        <w:t>alignment</w:t>
      </w:r>
      <w:r w:rsidR="009F5F7C">
        <w:t xml:space="preserve"> can be strategically justified by decades’ old expectations</w:t>
      </w:r>
      <w:r w:rsidR="000B09CE">
        <w:t xml:space="preserve"> (on which we express no view for the moment)</w:t>
      </w:r>
      <w:r w:rsidR="009F5F7C">
        <w:t>, it is n</w:t>
      </w:r>
      <w:r w:rsidR="00525BAC">
        <w:t xml:space="preserve">ot </w:t>
      </w:r>
      <w:r w:rsidR="00A96DD6">
        <w:t>sufficient</w:t>
      </w:r>
      <w:r w:rsidR="00525BAC">
        <w:t xml:space="preserve"> for road </w:t>
      </w:r>
      <w:r w:rsidR="00525BAC" w:rsidRPr="001B5C17">
        <w:rPr>
          <w:i/>
        </w:rPr>
        <w:t>design</w:t>
      </w:r>
      <w:r w:rsidR="00525BAC">
        <w:t xml:space="preserve">, as a critical feature of urban design, </w:t>
      </w:r>
      <w:r w:rsidR="001B5C17">
        <w:t xml:space="preserve">to proceed from antiquated approaches. </w:t>
      </w:r>
    </w:p>
    <w:p w14:paraId="4739D5F5" w14:textId="77777777" w:rsidR="003F38DD" w:rsidRDefault="003F38DD" w:rsidP="009D3296">
      <w:pPr>
        <w:pStyle w:val="ListParagraph"/>
        <w:tabs>
          <w:tab w:val="left" w:pos="540"/>
        </w:tabs>
        <w:ind w:left="360"/>
      </w:pPr>
    </w:p>
    <w:p w14:paraId="32A2ACF4" w14:textId="370FA1C5" w:rsidR="00F40B0A" w:rsidRDefault="00E562F0" w:rsidP="009D3296">
      <w:pPr>
        <w:pStyle w:val="ListParagraph"/>
        <w:numPr>
          <w:ilvl w:val="0"/>
          <w:numId w:val="6"/>
        </w:numPr>
        <w:tabs>
          <w:tab w:val="left" w:pos="540"/>
        </w:tabs>
        <w:ind w:left="360"/>
      </w:pPr>
      <w:r>
        <w:t>The concern is</w:t>
      </w:r>
      <w:r w:rsidR="001B5C17">
        <w:t xml:space="preserve"> </w:t>
      </w:r>
      <w:r w:rsidR="009F6E11">
        <w:t>NELP is preponderantly an engineering solution</w:t>
      </w:r>
      <w:r w:rsidR="00235EB7">
        <w:t xml:space="preserve">. </w:t>
      </w:r>
    </w:p>
    <w:p w14:paraId="2F6FFFED" w14:textId="77777777" w:rsidR="00F40B0A" w:rsidRDefault="00F40B0A" w:rsidP="009D3296">
      <w:pPr>
        <w:pStyle w:val="ListParagraph"/>
        <w:ind w:left="360"/>
      </w:pPr>
    </w:p>
    <w:p w14:paraId="3D153FC2" w14:textId="5B1C9299" w:rsidR="00D90369" w:rsidRDefault="00C06E8D" w:rsidP="009D3296">
      <w:pPr>
        <w:pStyle w:val="ListParagraph"/>
        <w:numPr>
          <w:ilvl w:val="0"/>
          <w:numId w:val="6"/>
        </w:numPr>
        <w:ind w:left="360"/>
      </w:pPr>
      <w:r>
        <w:t xml:space="preserve">The challenge to be met is different. </w:t>
      </w:r>
      <w:r w:rsidR="00411A23">
        <w:t>T</w:t>
      </w:r>
      <w:r w:rsidR="00623C2E">
        <w:t xml:space="preserve">ransport infrastructure </w:t>
      </w:r>
      <w:r w:rsidR="00411A23">
        <w:t xml:space="preserve">must </w:t>
      </w:r>
      <w:r w:rsidR="00623C2E">
        <w:t>be sustainable</w:t>
      </w:r>
      <w:r w:rsidR="003F38DD">
        <w:t>,</w:t>
      </w:r>
      <w:r w:rsidR="00A25198">
        <w:rPr>
          <w:rStyle w:val="FootnoteReference"/>
        </w:rPr>
        <w:footnoteReference w:id="6"/>
      </w:r>
      <w:r w:rsidR="00623C2E">
        <w:t xml:space="preserve"> </w:t>
      </w:r>
      <w:r w:rsidR="00411A23">
        <w:t>includ</w:t>
      </w:r>
      <w:r w:rsidR="003F38DD">
        <w:t>ing</w:t>
      </w:r>
      <w:r w:rsidR="00411A23">
        <w:t xml:space="preserve"> </w:t>
      </w:r>
      <w:r w:rsidR="003F38DD">
        <w:t xml:space="preserve">being </w:t>
      </w:r>
      <w:r w:rsidR="00411A23">
        <w:t xml:space="preserve">ecologically sustainable. In our submission </w:t>
      </w:r>
      <w:r w:rsidR="00623C2E">
        <w:t xml:space="preserve">‘best practice’ </w:t>
      </w:r>
      <w:r w:rsidR="00411A23">
        <w:t xml:space="preserve">in this context </w:t>
      </w:r>
      <w:r w:rsidR="00691A72">
        <w:t>means integrating nature into urban design</w:t>
      </w:r>
      <w:r w:rsidR="004F3395">
        <w:t xml:space="preserve">, because </w:t>
      </w:r>
      <w:r w:rsidR="00691A72">
        <w:t>‘</w:t>
      </w:r>
      <w:r w:rsidR="004F3395">
        <w:t>l</w:t>
      </w:r>
      <w:r w:rsidR="00691A72">
        <w:t>iveable’</w:t>
      </w:r>
      <w:r w:rsidR="00C836D1">
        <w:t xml:space="preserve"> cities </w:t>
      </w:r>
      <w:r w:rsidR="003F38DD">
        <w:t xml:space="preserve">cannot exist </w:t>
      </w:r>
      <w:r w:rsidR="00C836D1">
        <w:t xml:space="preserve">without </w:t>
      </w:r>
      <w:r w:rsidR="003F38DD">
        <w:t>nature.</w:t>
      </w:r>
      <w:r w:rsidR="00C836D1">
        <w:rPr>
          <w:rStyle w:val="FootnoteReference"/>
        </w:rPr>
        <w:footnoteReference w:id="7"/>
      </w:r>
    </w:p>
    <w:p w14:paraId="58968E9C" w14:textId="77777777" w:rsidR="00F2359E" w:rsidRDefault="00F2359E" w:rsidP="00F2359E">
      <w:pPr>
        <w:pStyle w:val="ListParagraph"/>
        <w:ind w:left="360"/>
      </w:pPr>
    </w:p>
    <w:p w14:paraId="52D09415" w14:textId="77777777" w:rsidR="00F2359E" w:rsidRDefault="00D90369" w:rsidP="00F2359E">
      <w:pPr>
        <w:pStyle w:val="ListParagraph"/>
        <w:numPr>
          <w:ilvl w:val="0"/>
          <w:numId w:val="6"/>
        </w:numPr>
        <w:ind w:left="360"/>
      </w:pPr>
      <w:r>
        <w:t>At a general level, the question of</w:t>
      </w:r>
      <w:r w:rsidR="004F3395">
        <w:t xml:space="preserve"> whether the </w:t>
      </w:r>
      <w:r>
        <w:t>environmental effects of the NELP</w:t>
      </w:r>
      <w:r w:rsidR="004F3395">
        <w:t xml:space="preserve"> are acceptable</w:t>
      </w:r>
      <w:r>
        <w:t xml:space="preserve"> will depend to a considerable degree on </w:t>
      </w:r>
      <w:r w:rsidR="00D026DD">
        <w:t xml:space="preserve">whether the reference design can demonstrate and </w:t>
      </w:r>
      <w:r w:rsidR="00225860">
        <w:t>achieve</w:t>
      </w:r>
      <w:r w:rsidR="00D026DD">
        <w:t xml:space="preserve"> biodiversity sensitive urban design</w:t>
      </w:r>
      <w:r w:rsidR="004F3395">
        <w:t xml:space="preserve"> (</w:t>
      </w:r>
      <w:r w:rsidR="004F3395" w:rsidRPr="009D3296">
        <w:rPr>
          <w:b/>
          <w:bCs/>
        </w:rPr>
        <w:t>‘BSUD’</w:t>
      </w:r>
      <w:r w:rsidR="004F3395">
        <w:t>)</w:t>
      </w:r>
      <w:r w:rsidR="00D026DD">
        <w:t xml:space="preserve"> at a level </w:t>
      </w:r>
      <w:r w:rsidR="00225860">
        <w:t xml:space="preserve">of detail </w:t>
      </w:r>
      <w:r w:rsidR="00E44609">
        <w:t>sufficient to provide confidence in overall beneficial environmental outcomes being realised over the life of the NELP.</w:t>
      </w:r>
    </w:p>
    <w:p w14:paraId="26CDD048" w14:textId="77777777" w:rsidR="00F2359E" w:rsidRDefault="00F2359E" w:rsidP="00F2359E">
      <w:pPr>
        <w:pStyle w:val="ListParagraph"/>
      </w:pPr>
    </w:p>
    <w:p w14:paraId="5F0057EA" w14:textId="1F9E9FF9" w:rsidR="00240817" w:rsidRPr="00F2359E" w:rsidRDefault="00FD0182" w:rsidP="00F2359E">
      <w:pPr>
        <w:pStyle w:val="ListParagraph"/>
        <w:numPr>
          <w:ilvl w:val="0"/>
          <w:numId w:val="6"/>
        </w:numPr>
        <w:ind w:left="360"/>
      </w:pPr>
      <w:r w:rsidRPr="00F2359E">
        <w:t xml:space="preserve">BSUD </w:t>
      </w:r>
      <w:r w:rsidR="00C24BAA" w:rsidRPr="00F2359E">
        <w:t xml:space="preserve">represents </w:t>
      </w:r>
      <w:r w:rsidRPr="00F2359E">
        <w:t>a</w:t>
      </w:r>
      <w:r w:rsidR="00E26EBF" w:rsidRPr="00F2359E">
        <w:t xml:space="preserve"> contemporary</w:t>
      </w:r>
      <w:r w:rsidRPr="00F2359E">
        <w:t xml:space="preserve"> approach to urban</w:t>
      </w:r>
      <w:r w:rsidR="004F3395" w:rsidRPr="00F2359E">
        <w:t xml:space="preserve"> design</w:t>
      </w:r>
      <w:r w:rsidR="00240817" w:rsidRPr="00F2359E">
        <w:t xml:space="preserve"> that </w:t>
      </w:r>
      <w:r w:rsidR="00E26EBF" w:rsidRPr="00F2359E">
        <w:t xml:space="preserve">values </w:t>
      </w:r>
      <w:r w:rsidR="00240817" w:rsidRPr="00F2359E">
        <w:t>biodiversity as a resource to be preserved and maximised at all stages of planning and design.</w:t>
      </w:r>
      <w:r w:rsidR="00F2359E">
        <w:rPr>
          <w:rStyle w:val="FootnoteReference"/>
        </w:rPr>
        <w:footnoteReference w:id="8"/>
      </w:r>
      <w:r w:rsidR="00240817" w:rsidRPr="00F2359E">
        <w:t xml:space="preserve"> </w:t>
      </w:r>
      <w:r w:rsidR="00C24BAA" w:rsidRPr="00F2359E">
        <w:t xml:space="preserve">In contrast to the standard offsetting approach, </w:t>
      </w:r>
      <w:r w:rsidR="00240817" w:rsidRPr="00F2359E">
        <w:t>BSUD aims to create urban environments that make positive</w:t>
      </w:r>
      <w:r w:rsidR="00240817">
        <w:t xml:space="preserve"> </w:t>
      </w:r>
      <w:r w:rsidR="00240817" w:rsidRPr="00F2359E">
        <w:rPr>
          <w:i/>
          <w:iCs/>
        </w:rPr>
        <w:t>onsite</w:t>
      </w:r>
      <w:r w:rsidR="00240817">
        <w:t xml:space="preserve"> contributions to biodiversity</w:t>
      </w:r>
      <w:r w:rsidR="00C24BAA">
        <w:t xml:space="preserve">. BSUD </w:t>
      </w:r>
      <w:r w:rsidR="00C24BAA" w:rsidRPr="00C24BAA">
        <w:t>seek</w:t>
      </w:r>
      <w:r w:rsidR="00C24BAA">
        <w:t>s</w:t>
      </w:r>
      <w:r w:rsidR="00C24BAA" w:rsidRPr="00C24BAA">
        <w:t xml:space="preserve"> to build nature into the urban fabric</w:t>
      </w:r>
      <w:r w:rsidR="00C24BAA">
        <w:t>,</w:t>
      </w:r>
      <w:r w:rsidR="00C24BAA" w:rsidRPr="00C24BAA">
        <w:t xml:space="preserve"> by linking urban planning and design to the basic needs and survival of native plants and animals</w:t>
      </w:r>
      <w:r w:rsidR="00C24BAA">
        <w:t xml:space="preserve">. </w:t>
      </w:r>
      <w:r w:rsidR="00240817">
        <w:t xml:space="preserve">Its relevance and application to NELP was recognised </w:t>
      </w:r>
      <w:r w:rsidR="004F3395">
        <w:t>by all participants at the Conclave Meeting of Ecology Experts</w:t>
      </w:r>
      <w:r w:rsidR="00240817">
        <w:t>, when they</w:t>
      </w:r>
      <w:r w:rsidR="004F3395">
        <w:t xml:space="preserve"> </w:t>
      </w:r>
      <w:r w:rsidR="00240817">
        <w:t xml:space="preserve">agreed: </w:t>
      </w:r>
    </w:p>
    <w:p w14:paraId="2B399150" w14:textId="77777777" w:rsidR="00240817" w:rsidRDefault="00240817" w:rsidP="009D3296">
      <w:pPr>
        <w:pStyle w:val="ListParagraph"/>
      </w:pPr>
    </w:p>
    <w:p w14:paraId="626390DD" w14:textId="424EABF3" w:rsidR="00C24BAA" w:rsidRDefault="00240817" w:rsidP="009D3296">
      <w:pPr>
        <w:ind w:left="720"/>
      </w:pPr>
      <w:r w:rsidRPr="009D3296">
        <w:rPr>
          <w:i/>
          <w:iCs/>
        </w:rPr>
        <w:t>B</w:t>
      </w:r>
      <w:r w:rsidR="004F3395" w:rsidRPr="009D3296">
        <w:rPr>
          <w:i/>
          <w:iCs/>
        </w:rPr>
        <w:t>iodiversity sensitive urban design has the potential to further avoid and minimise impacts and should be included in the EPRs.</w:t>
      </w:r>
      <w:r w:rsidR="004F3395" w:rsidRPr="009D3296">
        <w:rPr>
          <w:rStyle w:val="FootnoteReference"/>
          <w:i/>
          <w:iCs/>
        </w:rPr>
        <w:footnoteReference w:id="9"/>
      </w:r>
    </w:p>
    <w:p w14:paraId="2B101754" w14:textId="77777777" w:rsidR="00E44609" w:rsidRDefault="00E44609" w:rsidP="009D3296"/>
    <w:p w14:paraId="109CB61D" w14:textId="531E90EB" w:rsidR="00E44609" w:rsidRDefault="00AA57B4" w:rsidP="009D3296">
      <w:pPr>
        <w:pStyle w:val="ListParagraph"/>
        <w:numPr>
          <w:ilvl w:val="0"/>
          <w:numId w:val="6"/>
        </w:numPr>
        <w:ind w:left="360"/>
      </w:pPr>
      <w:r>
        <w:t xml:space="preserve">We note that counsel for the proponent, when </w:t>
      </w:r>
      <w:r w:rsidR="002C328F">
        <w:t>cross-examin</w:t>
      </w:r>
      <w:r>
        <w:t>ing</w:t>
      </w:r>
      <w:r w:rsidR="002C328F">
        <w:t xml:space="preserve"> Dr </w:t>
      </w:r>
      <w:r>
        <w:t xml:space="preserve">Graeme </w:t>
      </w:r>
      <w:r w:rsidR="002C328F">
        <w:t xml:space="preserve">Lorimer, </w:t>
      </w:r>
      <w:r>
        <w:t>made the point</w:t>
      </w:r>
      <w:r w:rsidR="002C328F">
        <w:t xml:space="preserve"> that the Melbourne landscape has changed considerably and will continue to do so. </w:t>
      </w:r>
      <w:r w:rsidR="004359C4">
        <w:t xml:space="preserve">In </w:t>
      </w:r>
      <w:r>
        <w:t xml:space="preserve">counsel’s </w:t>
      </w:r>
      <w:r w:rsidR="004359C4">
        <w:t>comparison of aerial photographs of the project area from 1945 to the present</w:t>
      </w:r>
      <w:r>
        <w:t>,</w:t>
      </w:r>
      <w:r w:rsidR="004359C4">
        <w:t xml:space="preserve"> the changes were stark. </w:t>
      </w:r>
      <w:r w:rsidR="004E4A6A">
        <w:t xml:space="preserve">It is </w:t>
      </w:r>
      <w:r w:rsidR="00E63E81">
        <w:t xml:space="preserve">a </w:t>
      </w:r>
      <w:r w:rsidR="004E4A6A">
        <w:t xml:space="preserve">valid and important point. </w:t>
      </w:r>
    </w:p>
    <w:p w14:paraId="57E7F8E3" w14:textId="77777777" w:rsidR="003B7223" w:rsidRDefault="003B7223" w:rsidP="003B7223">
      <w:pPr>
        <w:pStyle w:val="ListParagraph"/>
      </w:pPr>
    </w:p>
    <w:p w14:paraId="60225E22" w14:textId="35A0B3C3" w:rsidR="00AA57B4" w:rsidRDefault="003B7223" w:rsidP="00C24BAA">
      <w:pPr>
        <w:pStyle w:val="ListParagraph"/>
        <w:numPr>
          <w:ilvl w:val="0"/>
          <w:numId w:val="6"/>
        </w:numPr>
        <w:ind w:left="360"/>
      </w:pPr>
      <w:r>
        <w:t>If NELP is to provide an overall</w:t>
      </w:r>
      <w:r w:rsidR="00FE4A93">
        <w:t>, acceptable</w:t>
      </w:r>
      <w:r>
        <w:t xml:space="preserve"> contribution to </w:t>
      </w:r>
      <w:r w:rsidR="00D41575">
        <w:t xml:space="preserve">the urban fabric </w:t>
      </w:r>
      <w:r w:rsidR="00A86787">
        <w:t xml:space="preserve">then </w:t>
      </w:r>
      <w:r w:rsidR="00552F04">
        <w:t xml:space="preserve">it is true the project as a whole needs to be considered, including its shorter- and longer-term impacts and outcomes, including intergenerational outcomes. </w:t>
      </w:r>
      <w:r w:rsidR="009D2A12">
        <w:t xml:space="preserve">NELP may well provide a foundation for </w:t>
      </w:r>
      <w:r w:rsidR="00314C14">
        <w:t xml:space="preserve">enhanced urban ecosystem benefits (or it may not). </w:t>
      </w:r>
      <w:r w:rsidR="003F09DB">
        <w:t xml:space="preserve">It is fair to say the urban landscape will be different. </w:t>
      </w:r>
    </w:p>
    <w:p w14:paraId="2182254E" w14:textId="77777777" w:rsidR="00AA57B4" w:rsidRDefault="00AA57B4" w:rsidP="009D3296">
      <w:pPr>
        <w:pStyle w:val="ListParagraph"/>
      </w:pPr>
    </w:p>
    <w:p w14:paraId="0C156A27" w14:textId="79797F79" w:rsidR="005C533F" w:rsidRDefault="00350076" w:rsidP="009D3296">
      <w:pPr>
        <w:pStyle w:val="ListParagraph"/>
        <w:numPr>
          <w:ilvl w:val="0"/>
          <w:numId w:val="6"/>
        </w:numPr>
        <w:ind w:left="360"/>
      </w:pPr>
      <w:r>
        <w:lastRenderedPageBreak/>
        <w:t>In our submission</w:t>
      </w:r>
      <w:r w:rsidR="00B538C2">
        <w:t>,</w:t>
      </w:r>
      <w:r>
        <w:t xml:space="preserve"> acceptable effects and outcomes will be those that provide real likelihood of an enhanced urban environment</w:t>
      </w:r>
      <w:r w:rsidR="007361EE">
        <w:t xml:space="preserve">, not one further deteriorated. In any case, considerations of equity demand </w:t>
      </w:r>
      <w:r w:rsidR="00642595">
        <w:t>that both current and future generations have the benefit of healthy urban ecosystems</w:t>
      </w:r>
      <w:r w:rsidR="005C533F">
        <w:t>,</w:t>
      </w:r>
      <w:r w:rsidR="00642595">
        <w:t xml:space="preserve"> </w:t>
      </w:r>
      <w:r w:rsidR="00E206AA">
        <w:t xml:space="preserve">not </w:t>
      </w:r>
      <w:r w:rsidR="00975A65">
        <w:t>just a city in which we accept ongoing incremental losses a</w:t>
      </w:r>
      <w:r w:rsidR="00AA57B4">
        <w:t>n</w:t>
      </w:r>
      <w:r w:rsidR="00975A65">
        <w:t>d trajectories of decline.</w:t>
      </w:r>
    </w:p>
    <w:p w14:paraId="34FCFCA5" w14:textId="1A5C4FEB" w:rsidR="00E71B6C" w:rsidRDefault="00E71B6C" w:rsidP="00E71B6C"/>
    <w:p w14:paraId="7550AB2F" w14:textId="6F08E2AA" w:rsidR="00024C80" w:rsidRDefault="005C533F" w:rsidP="00E71B6C">
      <w:pPr>
        <w:pStyle w:val="Heading2"/>
      </w:pPr>
      <w:bookmarkStart w:id="6" w:name="_Toc18573005"/>
      <w:bookmarkStart w:id="7" w:name="_Toc18592018"/>
      <w:r>
        <w:t>Acceptability</w:t>
      </w:r>
      <w:bookmarkEnd w:id="6"/>
      <w:bookmarkEnd w:id="7"/>
    </w:p>
    <w:p w14:paraId="14B40C2E" w14:textId="77777777" w:rsidR="00E71B6C" w:rsidRDefault="00E71B6C" w:rsidP="00E71B6C">
      <w:pPr>
        <w:pStyle w:val="ListParagraph"/>
        <w:ind w:left="360"/>
      </w:pPr>
    </w:p>
    <w:p w14:paraId="22CDBE84" w14:textId="1537B1FE" w:rsidR="00024C80" w:rsidRDefault="0015474F" w:rsidP="009D3296">
      <w:pPr>
        <w:pStyle w:val="ListParagraph"/>
        <w:numPr>
          <w:ilvl w:val="0"/>
          <w:numId w:val="6"/>
        </w:numPr>
        <w:ind w:left="360"/>
      </w:pPr>
      <w:r>
        <w:t xml:space="preserve">This brings us to the </w:t>
      </w:r>
      <w:r w:rsidR="006D092F">
        <w:t>question of acceptability and its proper construction in the present case</w:t>
      </w:r>
      <w:r w:rsidR="00B538C2">
        <w:t>.</w:t>
      </w:r>
    </w:p>
    <w:p w14:paraId="09384D21" w14:textId="77777777" w:rsidR="006F371C" w:rsidRDefault="006F371C" w:rsidP="009D3296">
      <w:pPr>
        <w:pStyle w:val="ListParagraph"/>
        <w:ind w:left="360"/>
      </w:pPr>
    </w:p>
    <w:p w14:paraId="06D5D353" w14:textId="4CDF0586" w:rsidR="006F371C" w:rsidRDefault="00E2091C" w:rsidP="009D3296">
      <w:pPr>
        <w:pStyle w:val="ListParagraph"/>
        <w:numPr>
          <w:ilvl w:val="0"/>
          <w:numId w:val="6"/>
        </w:numPr>
        <w:ind w:left="360"/>
      </w:pPr>
      <w:r>
        <w:t>As noted in the Councils joint opening submission, i</w:t>
      </w:r>
      <w:r w:rsidR="00466F21">
        <w:t>n coming to its conclusions</w:t>
      </w:r>
      <w:r w:rsidR="006F371C">
        <w:t xml:space="preserve"> the IAC (and ultimately the Minister) must engage with the policy matrix of the </w:t>
      </w:r>
      <w:r w:rsidR="006F371C" w:rsidRPr="009D3296">
        <w:rPr>
          <w:i/>
          <w:iCs/>
        </w:rPr>
        <w:t>P</w:t>
      </w:r>
      <w:r w:rsidRPr="009D3296">
        <w:rPr>
          <w:i/>
          <w:iCs/>
        </w:rPr>
        <w:t>lanning and Environment</w:t>
      </w:r>
      <w:r w:rsidR="006F371C" w:rsidRPr="009D3296">
        <w:rPr>
          <w:i/>
          <w:iCs/>
        </w:rPr>
        <w:t xml:space="preserve"> Act</w:t>
      </w:r>
      <w:r>
        <w:t xml:space="preserve"> </w:t>
      </w:r>
      <w:r w:rsidRPr="00B538C2">
        <w:rPr>
          <w:i/>
          <w:iCs/>
        </w:rPr>
        <w:t>1987</w:t>
      </w:r>
      <w:r w:rsidR="006F371C">
        <w:t>.</w:t>
      </w:r>
      <w:r w:rsidR="006F371C">
        <w:rPr>
          <w:rStyle w:val="FootnoteReference"/>
        </w:rPr>
        <w:footnoteReference w:id="10"/>
      </w:r>
      <w:r w:rsidR="006F371C">
        <w:t xml:space="preserve"> </w:t>
      </w:r>
      <w:r w:rsidR="00C5704F">
        <w:t xml:space="preserve">This necessarily includes </w:t>
      </w:r>
      <w:r w:rsidR="00DA5FC8">
        <w:t>planning policy considerations</w:t>
      </w:r>
      <w:r w:rsidR="00C5704F">
        <w:t>.</w:t>
      </w:r>
      <w:r w:rsidR="00DA5FC8">
        <w:t xml:space="preserve"> </w:t>
      </w:r>
    </w:p>
    <w:p w14:paraId="4A229397" w14:textId="77777777" w:rsidR="006F371C" w:rsidRDefault="006F371C" w:rsidP="006F371C">
      <w:pPr>
        <w:pStyle w:val="ListParagraph"/>
      </w:pPr>
    </w:p>
    <w:p w14:paraId="133C6F35" w14:textId="610DADBA" w:rsidR="00C444F4" w:rsidRDefault="003244C8" w:rsidP="00B538C2">
      <w:pPr>
        <w:pStyle w:val="ListParagraph"/>
        <w:numPr>
          <w:ilvl w:val="0"/>
          <w:numId w:val="6"/>
        </w:numPr>
        <w:ind w:left="360"/>
      </w:pPr>
      <w:r>
        <w:t xml:space="preserve">Accordingly, </w:t>
      </w:r>
      <w:r w:rsidR="00C5704F" w:rsidRPr="00C5704F">
        <w:t>to achieve an acceptable outcome in planning terms</w:t>
      </w:r>
      <w:r w:rsidR="00C5704F">
        <w:t xml:space="preserve">, </w:t>
      </w:r>
      <w:r w:rsidR="0079328D">
        <w:t xml:space="preserve">the NELP must balance conflicting objectives in favour of </w:t>
      </w:r>
      <w:r w:rsidR="00C5704F">
        <w:t xml:space="preserve">achieving </w:t>
      </w:r>
      <w:r w:rsidR="0079328D">
        <w:t xml:space="preserve">a </w:t>
      </w:r>
      <w:r w:rsidR="00B538C2">
        <w:t>‘</w:t>
      </w:r>
      <w:r w:rsidR="0079328D">
        <w:t>net community benefit</w:t>
      </w:r>
      <w:r w:rsidR="00B538C2">
        <w:t>’</w:t>
      </w:r>
      <w:r w:rsidR="0079328D">
        <w:t xml:space="preserve"> and sustainable development for the benefit of present and future generations</w:t>
      </w:r>
      <w:r w:rsidR="00C5704F">
        <w:t>.</w:t>
      </w:r>
      <w:r w:rsidR="0079328D">
        <w:t xml:space="preserve"> This is the well-understood test of integrated decision-making under planning</w:t>
      </w:r>
      <w:r w:rsidR="00B538C2">
        <w:t xml:space="preserve"> law,</w:t>
      </w:r>
      <w:r w:rsidR="0079328D">
        <w:t xml:space="preserve"> and one under which an acceptable outcome is not necessarily a ‘perfect’ outcome. </w:t>
      </w:r>
    </w:p>
    <w:p w14:paraId="4AC72154" w14:textId="77777777" w:rsidR="00C444F4" w:rsidRDefault="00C444F4" w:rsidP="009D3296">
      <w:pPr>
        <w:pStyle w:val="ListParagraph"/>
        <w:ind w:left="360"/>
      </w:pPr>
    </w:p>
    <w:p w14:paraId="6DE00C13" w14:textId="1D52B417" w:rsidR="00933AD1" w:rsidRDefault="00E12ED5" w:rsidP="009D3296">
      <w:pPr>
        <w:pStyle w:val="ListParagraph"/>
        <w:numPr>
          <w:ilvl w:val="0"/>
          <w:numId w:val="6"/>
        </w:numPr>
        <w:ind w:left="360"/>
      </w:pPr>
      <w:r>
        <w:t>The need to engage the ‘net community benefit’ test is uncontroversial.</w:t>
      </w:r>
      <w:r w:rsidR="00C061C4">
        <w:rPr>
          <w:rStyle w:val="FootnoteReference"/>
        </w:rPr>
        <w:footnoteReference w:id="11"/>
      </w:r>
      <w:r>
        <w:t xml:space="preserve"> </w:t>
      </w:r>
      <w:r w:rsidR="00933AD1">
        <w:t xml:space="preserve">The </w:t>
      </w:r>
      <w:r w:rsidR="00C061C4">
        <w:t>relevant Victorian Planning Provisions (</w:t>
      </w:r>
      <w:r w:rsidR="00C061C4" w:rsidRPr="009D3296">
        <w:rPr>
          <w:b/>
          <w:bCs/>
        </w:rPr>
        <w:t>'</w:t>
      </w:r>
      <w:r w:rsidR="00933AD1" w:rsidRPr="009D3296">
        <w:rPr>
          <w:b/>
          <w:bCs/>
        </w:rPr>
        <w:t>VPPs</w:t>
      </w:r>
      <w:r w:rsidR="00C061C4" w:rsidRPr="009D3296">
        <w:rPr>
          <w:b/>
          <w:bCs/>
        </w:rPr>
        <w:t>'</w:t>
      </w:r>
      <w:r w:rsidR="00C061C4">
        <w:t>)</w:t>
      </w:r>
      <w:r w:rsidR="00933AD1">
        <w:t xml:space="preserve"> and planning policy considerations </w:t>
      </w:r>
      <w:r w:rsidR="00C061C4">
        <w:t>must</w:t>
      </w:r>
      <w:r w:rsidR="00933AD1">
        <w:t xml:space="preserve"> be engaged. </w:t>
      </w:r>
    </w:p>
    <w:p w14:paraId="3EFA0D51" w14:textId="77777777" w:rsidR="00933AD1" w:rsidRDefault="00933AD1" w:rsidP="009D3296">
      <w:pPr>
        <w:pStyle w:val="ListParagraph"/>
        <w:ind w:left="360"/>
      </w:pPr>
    </w:p>
    <w:p w14:paraId="27A2B994" w14:textId="2D19BC07" w:rsidR="00C444F4" w:rsidRDefault="00C061C4" w:rsidP="009D3296">
      <w:pPr>
        <w:pStyle w:val="ListParagraph"/>
        <w:numPr>
          <w:ilvl w:val="0"/>
          <w:numId w:val="6"/>
        </w:numPr>
        <w:ind w:left="360"/>
      </w:pPr>
      <w:r>
        <w:t>T</w:t>
      </w:r>
      <w:r w:rsidR="00933AD1">
        <w:t xml:space="preserve">he ‘acceptability’ of the NELP also, in our submission, </w:t>
      </w:r>
      <w:r>
        <w:t>raises the</w:t>
      </w:r>
      <w:r w:rsidR="00933AD1">
        <w:t xml:space="preserve"> overlapping but </w:t>
      </w:r>
      <w:r>
        <w:t xml:space="preserve">broader </w:t>
      </w:r>
      <w:r w:rsidR="00933AD1">
        <w:t>question of whether</w:t>
      </w:r>
      <w:r>
        <w:t xml:space="preserve"> the</w:t>
      </w:r>
      <w:r w:rsidR="00933AD1">
        <w:t xml:space="preserve"> NELP is ‘ecologically sustainable.’ </w:t>
      </w:r>
      <w:r>
        <w:t xml:space="preserve">This is supported by the </w:t>
      </w:r>
      <w:r w:rsidRPr="009D3296">
        <w:rPr>
          <w:i/>
          <w:iCs/>
        </w:rPr>
        <w:t xml:space="preserve">Ministerial Guidelines for Assessment of Environmental Effects under the </w:t>
      </w:r>
      <w:r w:rsidRPr="00C061C4">
        <w:t>Environment Effects Act 1978</w:t>
      </w:r>
      <w:r>
        <w:t xml:space="preserve"> (</w:t>
      </w:r>
      <w:r w:rsidRPr="009D3296">
        <w:rPr>
          <w:b/>
          <w:bCs/>
        </w:rPr>
        <w:t>‘Minist</w:t>
      </w:r>
      <w:r>
        <w:rPr>
          <w:b/>
          <w:bCs/>
        </w:rPr>
        <w:t>erial</w:t>
      </w:r>
      <w:r w:rsidRPr="009D3296">
        <w:rPr>
          <w:b/>
          <w:bCs/>
        </w:rPr>
        <w:t xml:space="preserve"> Guidelines’</w:t>
      </w:r>
      <w:r>
        <w:t>) which specify that</w:t>
      </w:r>
      <w:r w:rsidR="00933AD1">
        <w:t xml:space="preserve"> </w:t>
      </w:r>
      <w:r w:rsidR="00B37942">
        <w:t xml:space="preserve">the EES process is guided by </w:t>
      </w:r>
      <w:r w:rsidR="00D57845">
        <w:t>the ‘need to assess the consistency of proposed works with principles and objectives of ecologically sustainable development’</w:t>
      </w:r>
      <w:r w:rsidR="001E4702">
        <w:t xml:space="preserve"> (</w:t>
      </w:r>
      <w:r w:rsidR="001E4702" w:rsidRPr="00B258E6">
        <w:rPr>
          <w:b/>
          <w:bCs/>
        </w:rPr>
        <w:t>‘ESD’</w:t>
      </w:r>
      <w:r w:rsidR="001E4702">
        <w:t>).</w:t>
      </w:r>
      <w:r w:rsidR="00D57845">
        <w:rPr>
          <w:rStyle w:val="FootnoteReference"/>
        </w:rPr>
        <w:footnoteReference w:id="12"/>
      </w:r>
    </w:p>
    <w:p w14:paraId="3D7AB2C7" w14:textId="77777777" w:rsidR="004D61B2" w:rsidRDefault="004D61B2" w:rsidP="009D3296">
      <w:pPr>
        <w:pStyle w:val="ListParagraph"/>
        <w:ind w:left="360"/>
      </w:pPr>
    </w:p>
    <w:p w14:paraId="5A022B50" w14:textId="2A867FB5" w:rsidR="004D61B2" w:rsidRDefault="004D61B2" w:rsidP="009D3296">
      <w:pPr>
        <w:pStyle w:val="ListParagraph"/>
        <w:numPr>
          <w:ilvl w:val="0"/>
          <w:numId w:val="6"/>
        </w:numPr>
        <w:ind w:left="360"/>
      </w:pPr>
      <w:r>
        <w:t>In our submission</w:t>
      </w:r>
      <w:r w:rsidR="001E4702">
        <w:t>,</w:t>
      </w:r>
      <w:r>
        <w:t xml:space="preserve"> the Committee needs to make findings and recommendations on whether the NELP is consistent with ESD as well as whether it w</w:t>
      </w:r>
      <w:r w:rsidR="001E4702">
        <w:t>ill</w:t>
      </w:r>
      <w:r>
        <w:t xml:space="preserve"> deliver a ‘net community benefit</w:t>
      </w:r>
      <w:r w:rsidR="001E4702">
        <w:t>’</w:t>
      </w:r>
      <w:r>
        <w:t xml:space="preserve">. </w:t>
      </w:r>
    </w:p>
    <w:p w14:paraId="0F7FFF81" w14:textId="77777777" w:rsidR="004D61B2" w:rsidRDefault="004D61B2" w:rsidP="009D3296">
      <w:pPr>
        <w:pStyle w:val="ListParagraph"/>
        <w:ind w:left="360"/>
      </w:pPr>
    </w:p>
    <w:p w14:paraId="1DD81B68" w14:textId="28FA7925" w:rsidR="00F713C9" w:rsidRDefault="00F713C9" w:rsidP="009D3296">
      <w:pPr>
        <w:pStyle w:val="ListParagraph"/>
        <w:numPr>
          <w:ilvl w:val="0"/>
          <w:numId w:val="6"/>
        </w:numPr>
        <w:ind w:left="360"/>
      </w:pPr>
      <w:r>
        <w:t>The common definition of ESD is ‘</w:t>
      </w:r>
      <w:r w:rsidR="00D45D78">
        <w:t>development that meets the needs of the present without compromising the ability of future generations to meet their own needs’</w:t>
      </w:r>
      <w:r w:rsidR="001E4702">
        <w:t>.</w:t>
      </w:r>
      <w:r w:rsidR="001E4702">
        <w:rPr>
          <w:rStyle w:val="FootnoteReference"/>
        </w:rPr>
        <w:footnoteReference w:id="13"/>
      </w:r>
    </w:p>
    <w:p w14:paraId="5C6E088B" w14:textId="77777777" w:rsidR="00F713C9" w:rsidRDefault="00F713C9" w:rsidP="009D3296">
      <w:pPr>
        <w:pStyle w:val="ListParagraph"/>
        <w:ind w:left="360"/>
      </w:pPr>
    </w:p>
    <w:p w14:paraId="03854157" w14:textId="5B4ED398" w:rsidR="004D61B2" w:rsidRDefault="00CC1FD7" w:rsidP="009D3296">
      <w:pPr>
        <w:pStyle w:val="ListParagraph"/>
        <w:numPr>
          <w:ilvl w:val="0"/>
          <w:numId w:val="6"/>
        </w:numPr>
        <w:ind w:left="360"/>
      </w:pPr>
      <w:r>
        <w:t>T</w:t>
      </w:r>
      <w:r w:rsidR="004D61B2">
        <w:t xml:space="preserve">he well-known judgment of Preston CJ in </w:t>
      </w:r>
      <w:r w:rsidR="004D61B2" w:rsidRPr="002509FF">
        <w:rPr>
          <w:i/>
        </w:rPr>
        <w:t>Telstra and Hornsby Shire Council</w:t>
      </w:r>
      <w:r w:rsidR="002509FF">
        <w:rPr>
          <w:rStyle w:val="FootnoteReference"/>
        </w:rPr>
        <w:footnoteReference w:id="14"/>
      </w:r>
      <w:r w:rsidR="00F713C9">
        <w:t xml:space="preserve"> outlines the constituent principles of ESD as including:</w:t>
      </w:r>
    </w:p>
    <w:p w14:paraId="00736E55" w14:textId="77777777" w:rsidR="00F713C9" w:rsidRDefault="00F713C9" w:rsidP="00F713C9">
      <w:pPr>
        <w:pStyle w:val="ListParagraph"/>
      </w:pPr>
    </w:p>
    <w:p w14:paraId="08ABAF1B" w14:textId="7A184FFF" w:rsidR="00F713C9" w:rsidRDefault="00CC1FD7" w:rsidP="009D3296">
      <w:pPr>
        <w:pStyle w:val="ListParagraph"/>
        <w:numPr>
          <w:ilvl w:val="1"/>
          <w:numId w:val="56"/>
        </w:numPr>
        <w:ind w:left="900"/>
      </w:pPr>
      <w:r>
        <w:t>s</w:t>
      </w:r>
      <w:r w:rsidR="00F713C9">
        <w:t>ustainable or ‘prudent’ use of resources</w:t>
      </w:r>
      <w:r>
        <w:t>;</w:t>
      </w:r>
    </w:p>
    <w:p w14:paraId="0286DA19" w14:textId="77777777" w:rsidR="00CC1FD7" w:rsidRDefault="00CC1FD7" w:rsidP="009D3296">
      <w:pPr>
        <w:pStyle w:val="ListParagraph"/>
        <w:ind w:left="900"/>
      </w:pPr>
    </w:p>
    <w:p w14:paraId="3A4A8F90" w14:textId="26E89163" w:rsidR="00F713C9" w:rsidRDefault="00CC1FD7" w:rsidP="009D3296">
      <w:pPr>
        <w:pStyle w:val="ListParagraph"/>
        <w:numPr>
          <w:ilvl w:val="1"/>
          <w:numId w:val="56"/>
        </w:numPr>
        <w:ind w:left="900"/>
      </w:pPr>
      <w:r>
        <w:t>i</w:t>
      </w:r>
      <w:r w:rsidR="00F713C9">
        <w:t>ntegrated decision-making which ensures mutual respect and reciprocity between economic and environmental considerations</w:t>
      </w:r>
      <w:r>
        <w:t>;</w:t>
      </w:r>
    </w:p>
    <w:p w14:paraId="4CD7E8FE" w14:textId="77777777" w:rsidR="00CC1FD7" w:rsidRDefault="00CC1FD7" w:rsidP="009D3296">
      <w:pPr>
        <w:pStyle w:val="ListParagraph"/>
        <w:ind w:left="900"/>
      </w:pPr>
    </w:p>
    <w:p w14:paraId="2D347BD3" w14:textId="431E590F" w:rsidR="00211540" w:rsidRDefault="00CC1FD7" w:rsidP="009D3296">
      <w:pPr>
        <w:pStyle w:val="ListParagraph"/>
        <w:numPr>
          <w:ilvl w:val="1"/>
          <w:numId w:val="56"/>
        </w:numPr>
        <w:ind w:left="900"/>
      </w:pPr>
      <w:r>
        <w:t>t</w:t>
      </w:r>
      <w:r w:rsidR="00211540">
        <w:t>he precautionary principle</w:t>
      </w:r>
      <w:r>
        <w:t>;</w:t>
      </w:r>
    </w:p>
    <w:p w14:paraId="4F688716" w14:textId="77777777" w:rsidR="00CC1FD7" w:rsidRDefault="00CC1FD7" w:rsidP="009D3296">
      <w:pPr>
        <w:pStyle w:val="ListParagraph"/>
        <w:ind w:left="900"/>
      </w:pPr>
    </w:p>
    <w:p w14:paraId="6E5CB4DB" w14:textId="1230A369" w:rsidR="00211540" w:rsidRDefault="00211540" w:rsidP="002A531A">
      <w:pPr>
        <w:pStyle w:val="ListParagraph"/>
        <w:numPr>
          <w:ilvl w:val="1"/>
          <w:numId w:val="56"/>
        </w:numPr>
        <w:ind w:left="900"/>
      </w:pPr>
      <w:r>
        <w:t>equity</w:t>
      </w:r>
      <w:r w:rsidR="002A531A">
        <w:t xml:space="preserve">, both inter-generational and </w:t>
      </w:r>
      <w:r w:rsidR="00CC1FD7">
        <w:t>i</w:t>
      </w:r>
      <w:r>
        <w:t>ntra-generational</w:t>
      </w:r>
      <w:r w:rsidR="00CC1FD7">
        <w:t>;</w:t>
      </w:r>
    </w:p>
    <w:p w14:paraId="10640EF2" w14:textId="77777777" w:rsidR="00CC1FD7" w:rsidRDefault="00CC1FD7" w:rsidP="009D3296">
      <w:pPr>
        <w:pStyle w:val="ListParagraph"/>
        <w:ind w:left="900"/>
      </w:pPr>
    </w:p>
    <w:p w14:paraId="2D311BFD" w14:textId="1956FC66" w:rsidR="00211540" w:rsidRDefault="00CC1FD7" w:rsidP="009D3296">
      <w:pPr>
        <w:pStyle w:val="ListParagraph"/>
        <w:numPr>
          <w:ilvl w:val="1"/>
          <w:numId w:val="56"/>
        </w:numPr>
        <w:ind w:left="900"/>
      </w:pPr>
      <w:r>
        <w:t>t</w:t>
      </w:r>
      <w:r w:rsidR="00211540">
        <w:t>he conservation of biolo</w:t>
      </w:r>
      <w:r w:rsidR="00466F21">
        <w:t>gical diversity and ecological</w:t>
      </w:r>
      <w:r w:rsidR="00211540">
        <w:t xml:space="preserve"> integrity should be a fundamental consideration</w:t>
      </w:r>
      <w:r>
        <w:t>; and</w:t>
      </w:r>
    </w:p>
    <w:p w14:paraId="4F510B7B" w14:textId="77777777" w:rsidR="00CC1FD7" w:rsidRDefault="00CC1FD7" w:rsidP="009D3296">
      <w:pPr>
        <w:pStyle w:val="ListParagraph"/>
        <w:ind w:left="900"/>
      </w:pPr>
    </w:p>
    <w:p w14:paraId="29B2E15E" w14:textId="7CA26D84" w:rsidR="00211540" w:rsidRDefault="00CC1FD7" w:rsidP="009D3296">
      <w:pPr>
        <w:pStyle w:val="ListParagraph"/>
        <w:numPr>
          <w:ilvl w:val="1"/>
          <w:numId w:val="56"/>
        </w:numPr>
        <w:ind w:left="900"/>
      </w:pPr>
      <w:r>
        <w:t>i</w:t>
      </w:r>
      <w:r w:rsidR="00211540">
        <w:t>nternalisation of environmental costs into decision-making for economic and other development plans, programmes and projects likely to affect the environment.</w:t>
      </w:r>
    </w:p>
    <w:p w14:paraId="091C88FA" w14:textId="77777777" w:rsidR="008B4B90" w:rsidRDefault="008B4B90" w:rsidP="008B4B90">
      <w:pPr>
        <w:pStyle w:val="ListParagraph"/>
        <w:ind w:left="1440"/>
      </w:pPr>
    </w:p>
    <w:p w14:paraId="3D1B000A" w14:textId="235DE0BD" w:rsidR="008B4B90" w:rsidRDefault="00150D9E" w:rsidP="009D3296">
      <w:pPr>
        <w:pStyle w:val="ListParagraph"/>
        <w:numPr>
          <w:ilvl w:val="0"/>
          <w:numId w:val="6"/>
        </w:numPr>
        <w:ind w:left="360"/>
      </w:pPr>
      <w:r>
        <w:t>All</w:t>
      </w:r>
      <w:r w:rsidR="008B4B90">
        <w:t xml:space="preserve"> of these principles are relevant and applicable </w:t>
      </w:r>
      <w:r>
        <w:t>to</w:t>
      </w:r>
      <w:r w:rsidR="008B4B90">
        <w:t xml:space="preserve"> the assessment of </w:t>
      </w:r>
      <w:r>
        <w:t xml:space="preserve">whether the </w:t>
      </w:r>
      <w:r w:rsidR="008B4B90">
        <w:t>environmental effects and outcomes likely to arise from the NELP</w:t>
      </w:r>
      <w:r>
        <w:t xml:space="preserve"> are acceptable</w:t>
      </w:r>
      <w:r w:rsidR="008B4B90">
        <w:t>.</w:t>
      </w:r>
    </w:p>
    <w:p w14:paraId="4D67C8D7" w14:textId="77777777" w:rsidR="008B4B90" w:rsidRDefault="008B4B90" w:rsidP="008B4B90">
      <w:pPr>
        <w:pStyle w:val="ListParagraph"/>
      </w:pPr>
    </w:p>
    <w:p w14:paraId="3EFFB2E5" w14:textId="772627BC" w:rsidR="008B4B90" w:rsidRDefault="00E363BE" w:rsidP="009D3296">
      <w:pPr>
        <w:pStyle w:val="ListParagraph"/>
        <w:numPr>
          <w:ilvl w:val="0"/>
          <w:numId w:val="6"/>
        </w:numPr>
        <w:ind w:left="360"/>
      </w:pPr>
      <w:r>
        <w:t>At the outset</w:t>
      </w:r>
      <w:r w:rsidR="00150D9E">
        <w:t>,</w:t>
      </w:r>
      <w:r>
        <w:t xml:space="preserve"> we submit that His Honour</w:t>
      </w:r>
      <w:r w:rsidR="00150D9E">
        <w:t>’s summarising statement</w:t>
      </w:r>
      <w:r>
        <w:t xml:space="preserve"> </w:t>
      </w:r>
      <w:r w:rsidR="00150D9E" w:rsidRPr="009D3296">
        <w:rPr>
          <w:i/>
          <w:iCs/>
        </w:rPr>
        <w:t>Telstra v Hornsby Shire Council</w:t>
      </w:r>
      <w:r>
        <w:t xml:space="preserve"> is particularly </w:t>
      </w:r>
      <w:r w:rsidR="00150D9E">
        <w:t xml:space="preserve">pertinent: </w:t>
      </w:r>
    </w:p>
    <w:p w14:paraId="4AE45688" w14:textId="77777777" w:rsidR="00E17571" w:rsidRDefault="00E17571" w:rsidP="00E363BE">
      <w:pPr>
        <w:pStyle w:val="ListParagraph"/>
      </w:pPr>
    </w:p>
    <w:p w14:paraId="0896A413" w14:textId="7FFF290A" w:rsidR="00E363BE" w:rsidRDefault="00E17571" w:rsidP="00E363BE">
      <w:pPr>
        <w:pStyle w:val="ListParagraph"/>
      </w:pPr>
      <w:r w:rsidRPr="009D3296">
        <w:rPr>
          <w:sz w:val="20"/>
          <w:szCs w:val="20"/>
        </w:rPr>
        <w:t>These principles do not exhaustively describe the full ambit of the concept of ecologically sustainable development, but they do afford guidance in most situations. These principles, if adequately implemented, may ultimately realise a paradigm shift from a world in which the development of the environment takes place without regard to environmental consequences, to one where a culture of sustainability extends to institutions, private development interests, communities and individuals</w:t>
      </w:r>
      <w:r w:rsidR="002A531A">
        <w:rPr>
          <w:sz w:val="20"/>
          <w:szCs w:val="20"/>
        </w:rPr>
        <w:t>.</w:t>
      </w:r>
      <w:r w:rsidR="00150D9E">
        <w:rPr>
          <w:rStyle w:val="FootnoteReference"/>
        </w:rPr>
        <w:footnoteReference w:id="15"/>
      </w:r>
    </w:p>
    <w:p w14:paraId="72E3FBAB" w14:textId="77777777" w:rsidR="00E363BE" w:rsidRDefault="00E363BE" w:rsidP="00E363BE">
      <w:pPr>
        <w:pStyle w:val="ListParagraph"/>
      </w:pPr>
    </w:p>
    <w:p w14:paraId="2D941270" w14:textId="32C609DE" w:rsidR="004019D2" w:rsidRDefault="00E363BE" w:rsidP="009D3296">
      <w:pPr>
        <w:pStyle w:val="ListParagraph"/>
        <w:numPr>
          <w:ilvl w:val="0"/>
          <w:numId w:val="6"/>
        </w:numPr>
        <w:ind w:left="360"/>
      </w:pPr>
      <w:r>
        <w:t>His Honour’s articulation of ESD principles provide</w:t>
      </w:r>
      <w:r w:rsidR="00150D9E">
        <w:t>s</w:t>
      </w:r>
      <w:r>
        <w:t xml:space="preserve"> guidance in assessing</w:t>
      </w:r>
      <w:r w:rsidR="0063782F">
        <w:t xml:space="preserve"> the acceptability of NELP. The ‘paradigm shift’ is arguably a work in progress and, in our submissions, the emergence of models of ‘green infrastructure’ and principles of BSUD applied to infrastructure projects </w:t>
      </w:r>
      <w:r w:rsidR="00E75B04">
        <w:t>support</w:t>
      </w:r>
      <w:r w:rsidR="0063782F">
        <w:t xml:space="preserve"> this ‘paradigm shift’. </w:t>
      </w:r>
    </w:p>
    <w:p w14:paraId="5E9AB356" w14:textId="77777777" w:rsidR="00150D9E" w:rsidRDefault="00150D9E" w:rsidP="009D3296">
      <w:pPr>
        <w:pStyle w:val="ListParagraph"/>
        <w:ind w:left="360"/>
      </w:pPr>
    </w:p>
    <w:p w14:paraId="5356D06D" w14:textId="34F8F3D9" w:rsidR="001459DA" w:rsidRDefault="004019D2" w:rsidP="009D3296">
      <w:pPr>
        <w:pStyle w:val="ListParagraph"/>
        <w:numPr>
          <w:ilvl w:val="0"/>
          <w:numId w:val="6"/>
        </w:numPr>
        <w:ind w:left="360"/>
      </w:pPr>
      <w:r>
        <w:t>The approach to integrated decision-making</w:t>
      </w:r>
      <w:r w:rsidR="002A531A">
        <w:t>,</w:t>
      </w:r>
      <w:r>
        <w:t xml:space="preserve"> as conceived </w:t>
      </w:r>
      <w:r w:rsidR="002A531A">
        <w:t xml:space="preserve">in </w:t>
      </w:r>
      <w:r w:rsidR="00150D9E" w:rsidRPr="00B258E6">
        <w:rPr>
          <w:i/>
          <w:iCs/>
        </w:rPr>
        <w:t>Telstra v Hornsby Shire Council</w:t>
      </w:r>
      <w:r w:rsidR="00150D9E">
        <w:rPr>
          <w:i/>
          <w:iCs/>
        </w:rPr>
        <w:t xml:space="preserve">, </w:t>
      </w:r>
      <w:r w:rsidR="00150D9E">
        <w:t>requi</w:t>
      </w:r>
      <w:r w:rsidR="00150D9E" w:rsidRPr="00150D9E">
        <w:t>res mutual respect and reciprocity between economic and environmental considerations</w:t>
      </w:r>
      <w:r w:rsidR="00150D9E">
        <w:t>.</w:t>
      </w:r>
      <w:r w:rsidR="00150D9E" w:rsidRPr="00150D9E" w:rsidDel="00150D9E">
        <w:t xml:space="preserve"> </w:t>
      </w:r>
      <w:r w:rsidR="00150D9E">
        <w:t xml:space="preserve">This approach moves beyond </w:t>
      </w:r>
      <w:r w:rsidR="002F774E">
        <w:t>treat</w:t>
      </w:r>
      <w:r w:rsidR="00150D9E">
        <w:t xml:space="preserve">ing </w:t>
      </w:r>
      <w:r w:rsidR="002F774E">
        <w:t xml:space="preserve">environmental matters as constraints on infrastructure development or matters to which </w:t>
      </w:r>
      <w:r w:rsidR="002A531A">
        <w:t>merely</w:t>
      </w:r>
      <w:r w:rsidR="002F774E">
        <w:t xml:space="preserve"> ‘regard’ is to be had in order to enable development to proceed.</w:t>
      </w:r>
    </w:p>
    <w:p w14:paraId="62C23A96" w14:textId="77777777" w:rsidR="001459DA" w:rsidRDefault="001459DA" w:rsidP="009D3296">
      <w:pPr>
        <w:pStyle w:val="ListParagraph"/>
        <w:ind w:left="360"/>
      </w:pPr>
    </w:p>
    <w:p w14:paraId="0679E437" w14:textId="1BC4FC19" w:rsidR="00FE048B" w:rsidRDefault="001459DA" w:rsidP="009D3296">
      <w:pPr>
        <w:pStyle w:val="ListParagraph"/>
        <w:numPr>
          <w:ilvl w:val="0"/>
          <w:numId w:val="6"/>
        </w:numPr>
        <w:ind w:left="360"/>
      </w:pPr>
      <w:r>
        <w:t xml:space="preserve">This approach is reinforced by incoming amendments to the </w:t>
      </w:r>
      <w:r w:rsidRPr="009D3296">
        <w:rPr>
          <w:i/>
        </w:rPr>
        <w:t>Flora and Fauna Guarantee Act 1988</w:t>
      </w:r>
      <w:r w:rsidR="00F0667B">
        <w:rPr>
          <w:i/>
        </w:rPr>
        <w:t>,</w:t>
      </w:r>
      <w:r>
        <w:t xml:space="preserve"> which we will return to. </w:t>
      </w:r>
    </w:p>
    <w:p w14:paraId="10607D4D" w14:textId="77777777" w:rsidR="00FE048B" w:rsidRDefault="00FE048B" w:rsidP="009D3296">
      <w:pPr>
        <w:pStyle w:val="ListParagraph"/>
        <w:ind w:left="360"/>
      </w:pPr>
    </w:p>
    <w:p w14:paraId="7498B6B9" w14:textId="4DAF951D" w:rsidR="004019D2" w:rsidRDefault="00FE048B" w:rsidP="009D3296">
      <w:pPr>
        <w:pStyle w:val="ListParagraph"/>
        <w:numPr>
          <w:ilvl w:val="0"/>
          <w:numId w:val="6"/>
        </w:numPr>
        <w:ind w:left="360"/>
      </w:pPr>
      <w:r>
        <w:t>We submit that the</w:t>
      </w:r>
      <w:r w:rsidR="00150D9E">
        <w:t xml:space="preserve"> starting point for integrated decision-making is one of</w:t>
      </w:r>
      <w:r w:rsidR="00165BEB">
        <w:t xml:space="preserve"> parity and equality</w:t>
      </w:r>
      <w:r>
        <w:t xml:space="preserve"> between environmental considerations and development</w:t>
      </w:r>
      <w:r w:rsidR="00150D9E">
        <w:t>/economic</w:t>
      </w:r>
      <w:r>
        <w:t xml:space="preserve"> </w:t>
      </w:r>
      <w:r w:rsidR="00150D9E">
        <w:t>considerations.</w:t>
      </w:r>
      <w:r w:rsidR="00165BEB">
        <w:t xml:space="preserve"> </w:t>
      </w:r>
      <w:r w:rsidR="00150D9E">
        <w:t xml:space="preserve">This means </w:t>
      </w:r>
      <w:r w:rsidR="00165BEB">
        <w:t xml:space="preserve">giving </w:t>
      </w:r>
      <w:r w:rsidR="00150D9E">
        <w:t xml:space="preserve">the </w:t>
      </w:r>
      <w:r w:rsidR="00165BEB">
        <w:t xml:space="preserve">environment and ecology a ‘seat at the table’ alongside the engineers and the economists. </w:t>
      </w:r>
    </w:p>
    <w:p w14:paraId="661EC4DA" w14:textId="77777777" w:rsidR="00FE048B" w:rsidRDefault="00FE048B" w:rsidP="009D3296">
      <w:pPr>
        <w:pStyle w:val="ListParagraph"/>
        <w:ind w:left="360"/>
      </w:pPr>
    </w:p>
    <w:p w14:paraId="159DD85C" w14:textId="7EDB3491" w:rsidR="005B2A97" w:rsidRDefault="00150D9E" w:rsidP="009D3296">
      <w:pPr>
        <w:pStyle w:val="ListParagraph"/>
        <w:numPr>
          <w:ilvl w:val="0"/>
          <w:numId w:val="6"/>
        </w:numPr>
        <w:ind w:left="360"/>
      </w:pPr>
      <w:r>
        <w:lastRenderedPageBreak/>
        <w:t>Such an approach</w:t>
      </w:r>
      <w:r w:rsidR="00FE048B">
        <w:t xml:space="preserve"> resonates </w:t>
      </w:r>
      <w:r>
        <w:t xml:space="preserve">with </w:t>
      </w:r>
      <w:r w:rsidR="00F0667B">
        <w:t>the</w:t>
      </w:r>
      <w:r w:rsidR="002E6358">
        <w:t xml:space="preserve"> BSUD Protocol,</w:t>
      </w:r>
      <w:r w:rsidR="002E6358">
        <w:rPr>
          <w:rStyle w:val="FootnoteReference"/>
        </w:rPr>
        <w:footnoteReference w:id="16"/>
      </w:r>
      <w:r w:rsidR="002E6358">
        <w:t xml:space="preserve"> as well as the</w:t>
      </w:r>
      <w:r w:rsidR="006870F3">
        <w:t xml:space="preserve"> proposal </w:t>
      </w:r>
      <w:r w:rsidR="002A531A">
        <w:t>by</w:t>
      </w:r>
      <w:r w:rsidR="006870F3">
        <w:t xml:space="preserve"> Dr Lorimer for closer multi</w:t>
      </w:r>
      <w:r>
        <w:t>-</w:t>
      </w:r>
      <w:r w:rsidR="006870F3">
        <w:t>disciplinary collaboration a</w:t>
      </w:r>
      <w:r w:rsidR="00F93DE0">
        <w:t xml:space="preserve">nd dialogue in project design for the NELP. We </w:t>
      </w:r>
      <w:r w:rsidR="00360ADC">
        <w:t xml:space="preserve">will </w:t>
      </w:r>
      <w:r w:rsidR="00F93DE0">
        <w:t>make submissions on a new EPR which seeks to give effect to this manner of integrated decision-making going forward in the detailed design stage</w:t>
      </w:r>
      <w:r w:rsidR="00360ADC">
        <w:t>,</w:t>
      </w:r>
      <w:r w:rsidR="00F93DE0">
        <w:t xml:space="preserve"> should it eventuate</w:t>
      </w:r>
      <w:r w:rsidR="007610F2">
        <w:t>.</w:t>
      </w:r>
    </w:p>
    <w:p w14:paraId="24E65279" w14:textId="77777777" w:rsidR="00437B1E" w:rsidRDefault="00437B1E" w:rsidP="009D3296">
      <w:pPr>
        <w:pStyle w:val="ListParagraph"/>
        <w:ind w:left="360"/>
      </w:pPr>
    </w:p>
    <w:p w14:paraId="184F105E" w14:textId="7D09022F" w:rsidR="00E66FA6" w:rsidRDefault="005B2A97" w:rsidP="009D3296">
      <w:pPr>
        <w:pStyle w:val="ListParagraph"/>
        <w:numPr>
          <w:ilvl w:val="0"/>
          <w:numId w:val="6"/>
        </w:numPr>
        <w:ind w:left="360"/>
      </w:pPr>
      <w:r>
        <w:t>A more comprehensive</w:t>
      </w:r>
      <w:r w:rsidR="00843B02">
        <w:t xml:space="preserve"> </w:t>
      </w:r>
      <w:r w:rsidR="009F1AAE" w:rsidRPr="009F1AAE">
        <w:t>approach to integrated decision-making</w:t>
      </w:r>
      <w:r w:rsidR="009F1AAE">
        <w:t>, properly integrating</w:t>
      </w:r>
      <w:r w:rsidR="00843B02">
        <w:t xml:space="preserve"> environmental considerations</w:t>
      </w:r>
      <w:r w:rsidR="009F1AAE">
        <w:t>,</w:t>
      </w:r>
      <w:r w:rsidR="00843B02">
        <w:t xml:space="preserve"> </w:t>
      </w:r>
      <w:r>
        <w:t xml:space="preserve">will result in a more accurate </w:t>
      </w:r>
      <w:r w:rsidR="00843B02">
        <w:t xml:space="preserve">assessment of </w:t>
      </w:r>
      <w:r w:rsidR="009F1AAE">
        <w:t xml:space="preserve">the </w:t>
      </w:r>
      <w:r w:rsidR="00843B02">
        <w:t xml:space="preserve">costs </w:t>
      </w:r>
      <w:r w:rsidR="009F1AAE">
        <w:t>(</w:t>
      </w:r>
      <w:r w:rsidR="00843B02">
        <w:t>and benefits</w:t>
      </w:r>
      <w:r w:rsidR="009F1AAE">
        <w:t>)</w:t>
      </w:r>
      <w:r w:rsidR="00843B02">
        <w:t xml:space="preserve"> of the NELP. As Dr Lorimer, Professor Bekessy and </w:t>
      </w:r>
      <w:r w:rsidR="001E3FF0">
        <w:t xml:space="preserve">Mr </w:t>
      </w:r>
      <w:proofErr w:type="spellStart"/>
      <w:r w:rsidR="001E3FF0">
        <w:t>Rawnsley</w:t>
      </w:r>
      <w:proofErr w:type="spellEnd"/>
      <w:r w:rsidR="00675350">
        <w:rPr>
          <w:rStyle w:val="FootnoteReference"/>
        </w:rPr>
        <w:footnoteReference w:id="17"/>
      </w:r>
      <w:r w:rsidR="001E3FF0">
        <w:t xml:space="preserve"> </w:t>
      </w:r>
      <w:r w:rsidR="00407CED">
        <w:t>each opined</w:t>
      </w:r>
      <w:r>
        <w:t>,</w:t>
      </w:r>
      <w:r w:rsidR="00407CED">
        <w:t xml:space="preserve"> </w:t>
      </w:r>
      <w:r w:rsidR="00E66FA6">
        <w:t>the biodiversity and non-biodiversity values of urban</w:t>
      </w:r>
      <w:r w:rsidR="00407CED">
        <w:t xml:space="preserve"> nature and ecosystems ad</w:t>
      </w:r>
      <w:r w:rsidR="00E66FA6">
        <w:t>versely impact</w:t>
      </w:r>
      <w:r>
        <w:t>ed</w:t>
      </w:r>
      <w:r w:rsidR="00E66FA6">
        <w:t xml:space="preserve"> by the NELP need to be incorporated into </w:t>
      </w:r>
      <w:r>
        <w:t>the</w:t>
      </w:r>
      <w:r w:rsidR="00E66FA6">
        <w:t xml:space="preserve"> accountin</w:t>
      </w:r>
      <w:r>
        <w:t xml:space="preserve">g </w:t>
      </w:r>
      <w:r w:rsidR="00E66FA6">
        <w:t xml:space="preserve">of costs and benefits of the NELP. This approach </w:t>
      </w:r>
      <w:r w:rsidR="00462924">
        <w:t>w</w:t>
      </w:r>
      <w:r w:rsidR="009F1AAE">
        <w:t>ill also</w:t>
      </w:r>
      <w:r w:rsidR="00462924">
        <w:t xml:space="preserve"> allow for greater internalisation of the environmental costs of the</w:t>
      </w:r>
      <w:r w:rsidR="009F1AAE">
        <w:t xml:space="preserve"> NELP, which will</w:t>
      </w:r>
      <w:r w:rsidR="006D13B9">
        <w:t xml:space="preserve"> provide for greater consistency of the </w:t>
      </w:r>
      <w:r w:rsidR="009F1AAE">
        <w:t>p</w:t>
      </w:r>
      <w:r w:rsidR="006D13B9">
        <w:t>roject with ESD principles. We propose a new EPR t</w:t>
      </w:r>
      <w:r w:rsidR="00D851CA">
        <w:t>o give effect to this approach</w:t>
      </w:r>
      <w:r w:rsidR="007610F2">
        <w:t>.</w:t>
      </w:r>
    </w:p>
    <w:p w14:paraId="4DE3A2DE" w14:textId="77777777" w:rsidR="001E7110" w:rsidRDefault="001E7110" w:rsidP="009D3296"/>
    <w:p w14:paraId="43239A29" w14:textId="519CFF99" w:rsidR="001E7110" w:rsidRPr="00B10EA2" w:rsidRDefault="001E7110" w:rsidP="00EA269E">
      <w:pPr>
        <w:pStyle w:val="Heading2"/>
      </w:pPr>
      <w:bookmarkStart w:id="8" w:name="_Toc18573006"/>
      <w:bookmarkStart w:id="9" w:name="_Toc18592019"/>
      <w:r w:rsidRPr="00B10EA2">
        <w:t>Planning policy matrix</w:t>
      </w:r>
      <w:bookmarkEnd w:id="8"/>
      <w:bookmarkEnd w:id="9"/>
    </w:p>
    <w:p w14:paraId="73640626" w14:textId="77777777" w:rsidR="00BF4C19" w:rsidRDefault="00BF4C19" w:rsidP="00BF4C19">
      <w:pPr>
        <w:pStyle w:val="ListParagraph"/>
      </w:pPr>
    </w:p>
    <w:p w14:paraId="641DD221" w14:textId="6F2761E9" w:rsidR="00BF4C19" w:rsidRDefault="0075205E" w:rsidP="009D3296">
      <w:pPr>
        <w:pStyle w:val="ListParagraph"/>
        <w:numPr>
          <w:ilvl w:val="0"/>
          <w:numId w:val="6"/>
        </w:numPr>
        <w:ind w:left="360"/>
      </w:pPr>
      <w:r>
        <w:t xml:space="preserve">Before </w:t>
      </w:r>
      <w:r w:rsidR="003E10B4">
        <w:t>addressing</w:t>
      </w:r>
      <w:r>
        <w:t xml:space="preserve"> specific </w:t>
      </w:r>
      <w:r w:rsidR="003E10B4">
        <w:t>matters arising from the NELP</w:t>
      </w:r>
      <w:r>
        <w:t xml:space="preserve"> Reference Design, there are </w:t>
      </w:r>
      <w:r w:rsidR="003E10B4">
        <w:t xml:space="preserve">important </w:t>
      </w:r>
      <w:r>
        <w:t xml:space="preserve">submissions </w:t>
      </w:r>
      <w:r w:rsidR="003E10B4">
        <w:t xml:space="preserve">to make with respect to </w:t>
      </w:r>
      <w:r>
        <w:t>the planning policy matrix with which the IAC a</w:t>
      </w:r>
      <w:r w:rsidR="00357492">
        <w:t xml:space="preserve">nd Minister </w:t>
      </w:r>
      <w:r w:rsidR="003E10B4">
        <w:t xml:space="preserve">must engage </w:t>
      </w:r>
      <w:r w:rsidR="00357492">
        <w:t xml:space="preserve">in assessing </w:t>
      </w:r>
      <w:r w:rsidR="00F0667B">
        <w:t xml:space="preserve">the </w:t>
      </w:r>
      <w:r w:rsidR="00357492">
        <w:t>acceptability</w:t>
      </w:r>
      <w:r w:rsidR="003E10B4">
        <w:t xml:space="preserve"> of the project. </w:t>
      </w:r>
    </w:p>
    <w:p w14:paraId="1369FF9C" w14:textId="77777777" w:rsidR="0075205E" w:rsidRDefault="0075205E" w:rsidP="009D3296">
      <w:pPr>
        <w:pStyle w:val="ListParagraph"/>
        <w:ind w:left="360"/>
      </w:pPr>
    </w:p>
    <w:p w14:paraId="1D10FB69" w14:textId="39C63A58" w:rsidR="00357492" w:rsidRDefault="003E10B4" w:rsidP="009D3296">
      <w:pPr>
        <w:pStyle w:val="ListParagraph"/>
        <w:numPr>
          <w:ilvl w:val="0"/>
          <w:numId w:val="6"/>
        </w:numPr>
        <w:ind w:left="360"/>
      </w:pPr>
      <w:r>
        <w:t>T</w:t>
      </w:r>
      <w:r w:rsidR="00357492">
        <w:t xml:space="preserve">here is an extensive list of VPPs </w:t>
      </w:r>
      <w:r>
        <w:t>of relevance to</w:t>
      </w:r>
      <w:r w:rsidR="00357492">
        <w:t xml:space="preserve"> </w:t>
      </w:r>
      <w:r>
        <w:t xml:space="preserve">determining </w:t>
      </w:r>
      <w:r w:rsidR="00357492">
        <w:t>‘net community benefit’</w:t>
      </w:r>
      <w:r>
        <w:t>.</w:t>
      </w:r>
      <w:r w:rsidR="00357492">
        <w:t xml:space="preserve"> </w:t>
      </w:r>
      <w:r w:rsidR="001F06C0">
        <w:t>These include policy provisions relating to</w:t>
      </w:r>
      <w:r>
        <w:t>:</w:t>
      </w:r>
      <w:r w:rsidR="001F06C0">
        <w:t xml:space="preserve"> </w:t>
      </w:r>
    </w:p>
    <w:p w14:paraId="7F0CFE29" w14:textId="77777777" w:rsidR="001F06C0" w:rsidRDefault="001F06C0" w:rsidP="001F06C0">
      <w:pPr>
        <w:pStyle w:val="ListParagraph"/>
      </w:pPr>
    </w:p>
    <w:p w14:paraId="152CD2AD" w14:textId="04B912D2" w:rsidR="001F06C0" w:rsidRDefault="003E10B4" w:rsidP="009D3296">
      <w:pPr>
        <w:pStyle w:val="ListParagraph"/>
        <w:numPr>
          <w:ilvl w:val="0"/>
          <w:numId w:val="57"/>
        </w:numPr>
      </w:pPr>
      <w:r>
        <w:t>t</w:t>
      </w:r>
      <w:r w:rsidR="001F06C0">
        <w:t>he road system</w:t>
      </w:r>
    </w:p>
    <w:p w14:paraId="3D55FC19" w14:textId="77777777" w:rsidR="003E10B4" w:rsidRDefault="003E10B4" w:rsidP="009D3296">
      <w:pPr>
        <w:pStyle w:val="ListParagraph"/>
        <w:ind w:left="1440"/>
      </w:pPr>
    </w:p>
    <w:p w14:paraId="5CB4A82F" w14:textId="4B13B564" w:rsidR="001F06C0" w:rsidRDefault="003E10B4" w:rsidP="009D3296">
      <w:pPr>
        <w:pStyle w:val="ListParagraph"/>
        <w:numPr>
          <w:ilvl w:val="0"/>
          <w:numId w:val="57"/>
        </w:numPr>
      </w:pPr>
      <w:r>
        <w:t>t</w:t>
      </w:r>
      <w:r w:rsidR="001F06C0">
        <w:t xml:space="preserve">he transport system </w:t>
      </w:r>
    </w:p>
    <w:p w14:paraId="4080A2E9" w14:textId="77777777" w:rsidR="003E10B4" w:rsidRDefault="003E10B4" w:rsidP="009D3296">
      <w:pPr>
        <w:pStyle w:val="ListParagraph"/>
        <w:ind w:left="1440"/>
      </w:pPr>
    </w:p>
    <w:p w14:paraId="3569D022" w14:textId="4E229285" w:rsidR="001F06C0" w:rsidRDefault="003E10B4" w:rsidP="009D3296">
      <w:pPr>
        <w:pStyle w:val="ListParagraph"/>
        <w:numPr>
          <w:ilvl w:val="0"/>
          <w:numId w:val="57"/>
        </w:numPr>
      </w:pPr>
      <w:r>
        <w:t>f</w:t>
      </w:r>
      <w:r w:rsidR="001F06C0">
        <w:t>reight links</w:t>
      </w:r>
    </w:p>
    <w:p w14:paraId="264155C4" w14:textId="77777777" w:rsidR="003E10B4" w:rsidRDefault="003E10B4" w:rsidP="009D3296">
      <w:pPr>
        <w:pStyle w:val="ListParagraph"/>
        <w:ind w:left="1440"/>
      </w:pPr>
    </w:p>
    <w:p w14:paraId="00C9A714" w14:textId="1F5BE650" w:rsidR="001F06C0" w:rsidRDefault="003E10B4" w:rsidP="009D3296">
      <w:pPr>
        <w:pStyle w:val="ListParagraph"/>
        <w:numPr>
          <w:ilvl w:val="0"/>
          <w:numId w:val="57"/>
        </w:numPr>
      </w:pPr>
      <w:r>
        <w:t>u</w:t>
      </w:r>
      <w:r w:rsidR="001F06C0">
        <w:t>rban design</w:t>
      </w:r>
    </w:p>
    <w:p w14:paraId="1519D182" w14:textId="77777777" w:rsidR="003E10B4" w:rsidRDefault="003E10B4" w:rsidP="009D3296">
      <w:pPr>
        <w:pStyle w:val="ListParagraph"/>
        <w:ind w:left="1440"/>
      </w:pPr>
    </w:p>
    <w:p w14:paraId="369B1923" w14:textId="239F576B" w:rsidR="001F06C0" w:rsidRDefault="003E10B4" w:rsidP="009D3296">
      <w:pPr>
        <w:pStyle w:val="ListParagraph"/>
        <w:numPr>
          <w:ilvl w:val="0"/>
          <w:numId w:val="57"/>
        </w:numPr>
      </w:pPr>
      <w:r>
        <w:t>e</w:t>
      </w:r>
      <w:r w:rsidR="001F06C0">
        <w:t>conomic development</w:t>
      </w:r>
    </w:p>
    <w:p w14:paraId="7BD13E97" w14:textId="77777777" w:rsidR="003E10B4" w:rsidRDefault="003E10B4" w:rsidP="009D3296">
      <w:pPr>
        <w:pStyle w:val="ListParagraph"/>
        <w:ind w:left="1440"/>
      </w:pPr>
    </w:p>
    <w:p w14:paraId="450D20A5" w14:textId="32E95ADF" w:rsidR="001F06C0" w:rsidRDefault="003E10B4" w:rsidP="009D3296">
      <w:pPr>
        <w:pStyle w:val="ListParagraph"/>
        <w:numPr>
          <w:ilvl w:val="0"/>
          <w:numId w:val="57"/>
        </w:numPr>
      </w:pPr>
      <w:r>
        <w:t>b</w:t>
      </w:r>
      <w:r w:rsidR="001F06C0">
        <w:t xml:space="preserve">iodiversity </w:t>
      </w:r>
    </w:p>
    <w:p w14:paraId="74130087" w14:textId="77777777" w:rsidR="003E10B4" w:rsidRDefault="003E10B4" w:rsidP="009D3296">
      <w:pPr>
        <w:pStyle w:val="ListParagraph"/>
        <w:ind w:left="1440"/>
      </w:pPr>
    </w:p>
    <w:p w14:paraId="47BB692F" w14:textId="3D4FDCED" w:rsidR="001F06C0" w:rsidRDefault="003E10B4" w:rsidP="009D3296">
      <w:pPr>
        <w:pStyle w:val="ListParagraph"/>
        <w:numPr>
          <w:ilvl w:val="0"/>
          <w:numId w:val="57"/>
        </w:numPr>
      </w:pPr>
      <w:r>
        <w:t>i</w:t>
      </w:r>
      <w:r w:rsidR="001F06C0">
        <w:t>ntegrated water management</w:t>
      </w:r>
    </w:p>
    <w:p w14:paraId="56A59C6C" w14:textId="77777777" w:rsidR="001F06C0" w:rsidRDefault="001F06C0" w:rsidP="001F06C0">
      <w:pPr>
        <w:pStyle w:val="ListParagraph"/>
        <w:ind w:left="1440"/>
      </w:pPr>
    </w:p>
    <w:p w14:paraId="50A2CACD" w14:textId="13368777" w:rsidR="001F06C0" w:rsidRDefault="003E10B4" w:rsidP="009D3296">
      <w:pPr>
        <w:pStyle w:val="ListParagraph"/>
        <w:numPr>
          <w:ilvl w:val="0"/>
          <w:numId w:val="6"/>
        </w:numPr>
        <w:ind w:left="360"/>
      </w:pPr>
      <w:r>
        <w:lastRenderedPageBreak/>
        <w:t>H</w:t>
      </w:r>
      <w:r w:rsidR="001F06C0">
        <w:t>igh</w:t>
      </w:r>
      <w:r w:rsidR="009B16CB">
        <w:t>-</w:t>
      </w:r>
      <w:r w:rsidR="001F06C0">
        <w:t xml:space="preserve">level policy documents </w:t>
      </w:r>
      <w:r>
        <w:t xml:space="preserve">of relevance to </w:t>
      </w:r>
      <w:r w:rsidR="001F06C0">
        <w:t xml:space="preserve">the NELP </w:t>
      </w:r>
      <w:r>
        <w:t>include</w:t>
      </w:r>
      <w:r w:rsidR="001F06C0">
        <w:t xml:space="preserve"> </w:t>
      </w:r>
      <w:r w:rsidR="001F06C0" w:rsidRPr="009D3296">
        <w:rPr>
          <w:i/>
        </w:rPr>
        <w:t>Plan Melbourne</w:t>
      </w:r>
      <w:r w:rsidR="00F0667B">
        <w:rPr>
          <w:i/>
        </w:rPr>
        <w:t xml:space="preserve"> 2017-2050</w:t>
      </w:r>
      <w:r w:rsidR="001F06C0" w:rsidRPr="009D3296">
        <w:rPr>
          <w:i/>
        </w:rPr>
        <w:t>,</w:t>
      </w:r>
      <w:r w:rsidR="00630902">
        <w:rPr>
          <w:rStyle w:val="FootnoteReference"/>
          <w:i/>
        </w:rPr>
        <w:footnoteReference w:id="18"/>
      </w:r>
      <w:r w:rsidR="001F06C0" w:rsidRPr="009D3296">
        <w:rPr>
          <w:i/>
        </w:rPr>
        <w:t xml:space="preserve"> </w:t>
      </w:r>
      <w:r w:rsidR="00736459" w:rsidRPr="009D3296">
        <w:rPr>
          <w:i/>
        </w:rPr>
        <w:t>Protecting Victoria’</w:t>
      </w:r>
      <w:r w:rsidR="00E562F0">
        <w:rPr>
          <w:i/>
        </w:rPr>
        <w:t>s Environment -</w:t>
      </w:r>
      <w:r w:rsidR="00736459" w:rsidRPr="009D3296">
        <w:rPr>
          <w:i/>
        </w:rPr>
        <w:t xml:space="preserve"> Biodiversity 2037</w:t>
      </w:r>
      <w:r w:rsidR="00206215">
        <w:t xml:space="preserve"> (‘</w:t>
      </w:r>
      <w:r w:rsidR="00206215" w:rsidRPr="00206215">
        <w:rPr>
          <w:b/>
        </w:rPr>
        <w:t>Biodiversity 2037</w:t>
      </w:r>
      <w:r w:rsidR="00206215">
        <w:t>’)</w:t>
      </w:r>
      <w:r w:rsidR="00736459" w:rsidRPr="00F0667B">
        <w:t>,</w:t>
      </w:r>
      <w:r w:rsidR="00630902" w:rsidRPr="00F0667B">
        <w:rPr>
          <w:rStyle w:val="FootnoteReference"/>
        </w:rPr>
        <w:footnoteReference w:id="19"/>
      </w:r>
      <w:r w:rsidR="00736459" w:rsidRPr="009D3296">
        <w:rPr>
          <w:i/>
        </w:rPr>
        <w:t xml:space="preserve"> </w:t>
      </w:r>
      <w:r w:rsidR="001D61DB" w:rsidRPr="003E10B4">
        <w:t>and the</w:t>
      </w:r>
      <w:r w:rsidR="001D61DB" w:rsidRPr="009D3296">
        <w:rPr>
          <w:i/>
        </w:rPr>
        <w:t xml:space="preserve"> Victorian Infrastructure Plan</w:t>
      </w:r>
      <w:r w:rsidR="001D61DB">
        <w:t>.</w:t>
      </w:r>
      <w:r>
        <w:rPr>
          <w:rStyle w:val="FootnoteReference"/>
        </w:rPr>
        <w:footnoteReference w:id="20"/>
      </w:r>
      <w:r w:rsidR="001D61DB">
        <w:t xml:space="preserve"> </w:t>
      </w:r>
    </w:p>
    <w:p w14:paraId="5ECCC339" w14:textId="77777777" w:rsidR="00EF6555" w:rsidRDefault="00EF6555" w:rsidP="009D3296">
      <w:pPr>
        <w:pStyle w:val="ListParagraph"/>
        <w:ind w:left="360"/>
      </w:pPr>
    </w:p>
    <w:p w14:paraId="3636803B" w14:textId="402D300B" w:rsidR="002A2B6D" w:rsidRDefault="002A2B6D" w:rsidP="009D3296">
      <w:pPr>
        <w:pStyle w:val="ListParagraph"/>
        <w:numPr>
          <w:ilvl w:val="0"/>
          <w:numId w:val="6"/>
        </w:numPr>
        <w:ind w:left="360"/>
      </w:pPr>
      <w:r w:rsidRPr="009D3296">
        <w:rPr>
          <w:i/>
        </w:rPr>
        <w:t>Plan Melbourne</w:t>
      </w:r>
      <w:r>
        <w:t xml:space="preserve"> has little to say about </w:t>
      </w:r>
      <w:r w:rsidR="00F0667B">
        <w:t xml:space="preserve">the </w:t>
      </w:r>
      <w:r>
        <w:t>NELP, other than it is a potential transport infrastructure project.</w:t>
      </w:r>
      <w:r>
        <w:rPr>
          <w:rStyle w:val="FootnoteReference"/>
        </w:rPr>
        <w:footnoteReference w:id="21"/>
      </w:r>
      <w:r>
        <w:t xml:space="preserve"> </w:t>
      </w:r>
      <w:r w:rsidR="001E048E">
        <w:t>The project is consistent in</w:t>
      </w:r>
      <w:r>
        <w:t xml:space="preserve"> principle with </w:t>
      </w:r>
      <w:r w:rsidR="001E048E">
        <w:t>‘</w:t>
      </w:r>
      <w:r>
        <w:t>Outcome 3</w:t>
      </w:r>
      <w:r w:rsidR="001E048E">
        <w:t>’</w:t>
      </w:r>
      <w:r>
        <w:t xml:space="preserve"> of the </w:t>
      </w:r>
      <w:r w:rsidR="001E048E">
        <w:t>‘v</w:t>
      </w:r>
      <w:r>
        <w:t>ision</w:t>
      </w:r>
      <w:r w:rsidR="001E048E">
        <w:t>’</w:t>
      </w:r>
      <w:r>
        <w:t xml:space="preserve"> to provide an integrated transport system that connects people to jobs and services and goods to market.</w:t>
      </w:r>
      <w:r>
        <w:rPr>
          <w:rStyle w:val="FootnoteReference"/>
        </w:rPr>
        <w:footnoteReference w:id="22"/>
      </w:r>
      <w:r w:rsidR="001E048E">
        <w:t xml:space="preserve"> However, the</w:t>
      </w:r>
      <w:r w:rsidR="00F0667B">
        <w:t xml:space="preserve"> overall</w:t>
      </w:r>
      <w:r w:rsidR="001E048E">
        <w:t xml:space="preserve"> ‘vision’</w:t>
      </w:r>
      <w:r>
        <w:t xml:space="preserve"> under </w:t>
      </w:r>
      <w:r w:rsidRPr="009D3296">
        <w:rPr>
          <w:i/>
        </w:rPr>
        <w:t>Plan Melbourne</w:t>
      </w:r>
      <w:r>
        <w:t xml:space="preserve"> </w:t>
      </w:r>
      <w:r w:rsidR="001E048E">
        <w:t>is one</w:t>
      </w:r>
      <w:r>
        <w:t xml:space="preserve"> focus</w:t>
      </w:r>
      <w:r w:rsidR="001E048E">
        <w:t>ed</w:t>
      </w:r>
      <w:r>
        <w:t xml:space="preserve"> on delivering public transport, a diversity of transport arrangements, and what we might call a more ‘human-scale’ and ‘human-friendly’ transport system. </w:t>
      </w:r>
      <w:r w:rsidR="0093017C">
        <w:t>Even in respect of freight movements the focus in on freight hubs, increasing rail freight capacity and avoiding adverse amenity impacts.</w:t>
      </w:r>
      <w:r w:rsidR="0093017C">
        <w:rPr>
          <w:rStyle w:val="FootnoteReference"/>
        </w:rPr>
        <w:footnoteReference w:id="23"/>
      </w:r>
    </w:p>
    <w:p w14:paraId="57C5BC49" w14:textId="77777777" w:rsidR="00EF6555" w:rsidRDefault="00EF6555" w:rsidP="009D3296">
      <w:pPr>
        <w:pStyle w:val="ListParagraph"/>
        <w:ind w:left="360"/>
      </w:pPr>
    </w:p>
    <w:p w14:paraId="2A5738B9" w14:textId="066AAE41" w:rsidR="00532104" w:rsidRDefault="00532104" w:rsidP="009D3296">
      <w:pPr>
        <w:pStyle w:val="ListParagraph"/>
        <w:numPr>
          <w:ilvl w:val="0"/>
          <w:numId w:val="6"/>
        </w:numPr>
        <w:ind w:left="360"/>
      </w:pPr>
      <w:r>
        <w:t xml:space="preserve">In other relevant respects, </w:t>
      </w:r>
      <w:r w:rsidRPr="00F0667B">
        <w:rPr>
          <w:i/>
        </w:rPr>
        <w:t>Plan Melbourne</w:t>
      </w:r>
      <w:r>
        <w:t xml:space="preserve"> emphasises ‘liveability’ with ‘quality design and amenity’, healthy neighbourhoods and distinctive places, and in environmental terms a s</w:t>
      </w:r>
      <w:r w:rsidR="0091719B">
        <w:t>ustainable and resilien</w:t>
      </w:r>
      <w:r w:rsidR="001E048E">
        <w:t>t</w:t>
      </w:r>
      <w:r w:rsidR="0091719B">
        <w:t xml:space="preserve"> city.</w:t>
      </w:r>
      <w:r w:rsidR="0091719B">
        <w:rPr>
          <w:rStyle w:val="FootnoteReference"/>
        </w:rPr>
        <w:footnoteReference w:id="24"/>
      </w:r>
    </w:p>
    <w:p w14:paraId="2862CB1B" w14:textId="77777777" w:rsidR="00EF6555" w:rsidRDefault="00EF6555" w:rsidP="00EF6555">
      <w:pPr>
        <w:pStyle w:val="ListParagraph"/>
      </w:pPr>
    </w:p>
    <w:p w14:paraId="64120CE4" w14:textId="0C50C005" w:rsidR="00EF6555" w:rsidRDefault="00BF0A86" w:rsidP="009D3296">
      <w:pPr>
        <w:pStyle w:val="ListParagraph"/>
        <w:numPr>
          <w:ilvl w:val="0"/>
          <w:numId w:val="6"/>
        </w:numPr>
        <w:ind w:left="360"/>
      </w:pPr>
      <w:r>
        <w:t xml:space="preserve">In general, we submit </w:t>
      </w:r>
      <w:r w:rsidR="00F0667B">
        <w:t xml:space="preserve">the </w:t>
      </w:r>
      <w:r>
        <w:t xml:space="preserve">NELP is not conducive to </w:t>
      </w:r>
      <w:r w:rsidR="00370919">
        <w:t>this overall vision. M</w:t>
      </w:r>
      <w:r>
        <w:t xml:space="preserve">ore specifically, in relation to the Reference Design, </w:t>
      </w:r>
      <w:r w:rsidR="00A1412E">
        <w:t xml:space="preserve">the extent and nature of environmental and amenity impacts likely to occur, and the shortcomings in mitigation measures, </w:t>
      </w:r>
      <w:r w:rsidR="00954178">
        <w:t xml:space="preserve">must lead to the conclusion that </w:t>
      </w:r>
      <w:r w:rsidR="00370919">
        <w:t xml:space="preserve">the </w:t>
      </w:r>
      <w:r w:rsidR="00954178">
        <w:t xml:space="preserve">Reference Design does not </w:t>
      </w:r>
      <w:r w:rsidR="001E048E">
        <w:t>accord with the</w:t>
      </w:r>
      <w:r w:rsidR="00954178">
        <w:t xml:space="preserve"> long-term vision of the city</w:t>
      </w:r>
      <w:r w:rsidR="001E048E">
        <w:t xml:space="preserve"> as set out in </w:t>
      </w:r>
      <w:r w:rsidR="001E048E" w:rsidRPr="00F0667B">
        <w:rPr>
          <w:i/>
        </w:rPr>
        <w:t>Plan Melbourne</w:t>
      </w:r>
      <w:r w:rsidR="001E048E">
        <w:t>.</w:t>
      </w:r>
      <w:r w:rsidR="00954178">
        <w:t xml:space="preserve"> </w:t>
      </w:r>
    </w:p>
    <w:p w14:paraId="759D1C95" w14:textId="77777777" w:rsidR="00954178" w:rsidRDefault="00954178" w:rsidP="00954178">
      <w:pPr>
        <w:pStyle w:val="ListParagraph"/>
      </w:pPr>
    </w:p>
    <w:p w14:paraId="24446DFA" w14:textId="6060D792" w:rsidR="00954178" w:rsidRDefault="00370919" w:rsidP="009D3296">
      <w:pPr>
        <w:pStyle w:val="ListParagraph"/>
        <w:numPr>
          <w:ilvl w:val="0"/>
          <w:numId w:val="6"/>
        </w:numPr>
        <w:ind w:left="360"/>
      </w:pPr>
      <w:r>
        <w:t xml:space="preserve">Without going to the detail of all relevant VPPs, the Yarra </w:t>
      </w:r>
      <w:proofErr w:type="spellStart"/>
      <w:r>
        <w:t>Riverkeeper</w:t>
      </w:r>
      <w:proofErr w:type="spellEnd"/>
      <w:r>
        <w:t xml:space="preserve"> generally agrees with the </w:t>
      </w:r>
      <w:r w:rsidR="00601122">
        <w:t>submissions made by the Combined Councils</w:t>
      </w:r>
      <w:r w:rsidR="0017031F">
        <w:t xml:space="preserve"> to this Inquiry,</w:t>
      </w:r>
      <w:r w:rsidR="0017031F">
        <w:rPr>
          <w:rStyle w:val="FootnoteReference"/>
        </w:rPr>
        <w:footnoteReference w:id="25"/>
      </w:r>
      <w:r w:rsidR="0017031F">
        <w:t xml:space="preserve"> in their outline and summary of the Planning Policy Framework relating to biodiversity, the transport system, the principal public transport network, the road system, and the freight network.</w:t>
      </w:r>
      <w:r w:rsidR="0017031F">
        <w:rPr>
          <w:rStyle w:val="FootnoteReference"/>
        </w:rPr>
        <w:footnoteReference w:id="26"/>
      </w:r>
    </w:p>
    <w:p w14:paraId="25BA4A3C" w14:textId="77777777" w:rsidR="00140328" w:rsidRDefault="00140328" w:rsidP="009D3296">
      <w:pPr>
        <w:pStyle w:val="ListParagraph"/>
        <w:ind w:left="360"/>
      </w:pPr>
    </w:p>
    <w:p w14:paraId="7E3ADD4B" w14:textId="7F6F65FF" w:rsidR="00140328" w:rsidRDefault="00140328" w:rsidP="009D3296">
      <w:pPr>
        <w:pStyle w:val="ListParagraph"/>
        <w:numPr>
          <w:ilvl w:val="0"/>
          <w:numId w:val="6"/>
        </w:numPr>
        <w:ind w:left="360"/>
      </w:pPr>
      <w:r>
        <w:t xml:space="preserve">We make that submission </w:t>
      </w:r>
      <w:r w:rsidR="00207ED6">
        <w:t>with</w:t>
      </w:r>
      <w:r>
        <w:t xml:space="preserve"> certain qualifications and additions, which are </w:t>
      </w:r>
      <w:r w:rsidR="001E048E">
        <w:t>addressed below.</w:t>
      </w:r>
    </w:p>
    <w:p w14:paraId="2D6E9260" w14:textId="77777777" w:rsidR="001E7110" w:rsidRDefault="001E7110" w:rsidP="009D3296">
      <w:pPr>
        <w:pStyle w:val="ListParagraph"/>
        <w:ind w:left="360"/>
      </w:pPr>
    </w:p>
    <w:p w14:paraId="4290EADC" w14:textId="2838D249" w:rsidR="00140328" w:rsidRPr="002529C8" w:rsidRDefault="001E7110" w:rsidP="002529C8">
      <w:pPr>
        <w:rPr>
          <w:i/>
        </w:rPr>
      </w:pPr>
      <w:r w:rsidRPr="002B2A04">
        <w:rPr>
          <w:i/>
        </w:rPr>
        <w:t>Waterway protection in planning policy</w:t>
      </w:r>
    </w:p>
    <w:p w14:paraId="2A58AA0A" w14:textId="309E7834" w:rsidR="004B3506" w:rsidRDefault="00140328" w:rsidP="009D3296">
      <w:pPr>
        <w:pStyle w:val="ListParagraph"/>
        <w:numPr>
          <w:ilvl w:val="0"/>
          <w:numId w:val="6"/>
        </w:numPr>
        <w:ind w:left="360"/>
      </w:pPr>
      <w:r>
        <w:t xml:space="preserve">There are now strong protections for the Yarra River corridor, both in planning and in special purpose legislation. </w:t>
      </w:r>
      <w:r w:rsidR="004F3755">
        <w:t>C</w:t>
      </w:r>
      <w:r>
        <w:t xml:space="preserve">lause </w:t>
      </w:r>
      <w:r w:rsidR="00824D3E">
        <w:t xml:space="preserve">12.03-1S provides for strong planning policy outcomes for </w:t>
      </w:r>
      <w:r w:rsidR="00824D3E" w:rsidRPr="00867A6A">
        <w:rPr>
          <w:i/>
        </w:rPr>
        <w:t>all</w:t>
      </w:r>
      <w:r w:rsidR="00824D3E">
        <w:t xml:space="preserve"> waterways</w:t>
      </w:r>
      <w:r w:rsidR="00867A6A">
        <w:t>, wetlands</w:t>
      </w:r>
      <w:r w:rsidR="00824D3E">
        <w:t xml:space="preserve"> and river corridors,</w:t>
      </w:r>
      <w:r w:rsidR="00564A8C">
        <w:rPr>
          <w:rStyle w:val="FootnoteReference"/>
        </w:rPr>
        <w:footnoteReference w:id="27"/>
      </w:r>
      <w:r w:rsidR="00824D3E">
        <w:t xml:space="preserve"> including affected tributaries</w:t>
      </w:r>
      <w:r w:rsidR="00867A6A">
        <w:t xml:space="preserve"> and wetlands</w:t>
      </w:r>
      <w:r w:rsidR="00824D3E">
        <w:t xml:space="preserve"> of the </w:t>
      </w:r>
      <w:r w:rsidR="00824D3E">
        <w:lastRenderedPageBreak/>
        <w:t xml:space="preserve">Yarra, including </w:t>
      </w:r>
      <w:proofErr w:type="spellStart"/>
      <w:r w:rsidR="00824D3E">
        <w:t>Koonung</w:t>
      </w:r>
      <w:proofErr w:type="spellEnd"/>
      <w:r w:rsidR="00824D3E">
        <w:t xml:space="preserve"> Creek, Banyule </w:t>
      </w:r>
      <w:r w:rsidR="00867A6A">
        <w:t>Creek, Boli</w:t>
      </w:r>
      <w:r w:rsidR="00EE75E0">
        <w:t xml:space="preserve">n </w:t>
      </w:r>
      <w:proofErr w:type="spellStart"/>
      <w:r w:rsidR="00EE75E0">
        <w:t>B</w:t>
      </w:r>
      <w:r w:rsidR="00867A6A">
        <w:t>olin</w:t>
      </w:r>
      <w:proofErr w:type="spellEnd"/>
      <w:r w:rsidR="00867A6A">
        <w:t xml:space="preserve"> Billabong </w:t>
      </w:r>
      <w:r w:rsidR="00824D3E">
        <w:t>and the Plenty River</w:t>
      </w:r>
      <w:r w:rsidR="004F3755">
        <w:t xml:space="preserve">. </w:t>
      </w:r>
      <w:r w:rsidR="004B3506">
        <w:t xml:space="preserve">The objective of the clause is: </w:t>
      </w:r>
    </w:p>
    <w:p w14:paraId="3F8D2175" w14:textId="53D7625F" w:rsidR="004B3506" w:rsidRPr="004B3506" w:rsidRDefault="004B3506" w:rsidP="004B3506">
      <w:pPr>
        <w:ind w:left="720"/>
        <w:rPr>
          <w:rFonts w:cstheme="minorHAnsi"/>
          <w:sz w:val="20"/>
          <w:szCs w:val="20"/>
        </w:rPr>
      </w:pPr>
      <w:r w:rsidRPr="004B3506">
        <w:rPr>
          <w:rFonts w:cstheme="minorHAnsi"/>
          <w:sz w:val="20"/>
          <w:szCs w:val="20"/>
        </w:rPr>
        <w:t>To protect and enhance river corridors, waterways, lakes and wetlands</w:t>
      </w:r>
    </w:p>
    <w:p w14:paraId="29039212" w14:textId="57FF4993" w:rsidR="00140328" w:rsidRDefault="004F3755" w:rsidP="009D3296">
      <w:pPr>
        <w:pStyle w:val="ListParagraph"/>
        <w:numPr>
          <w:ilvl w:val="0"/>
          <w:numId w:val="6"/>
        </w:numPr>
        <w:ind w:left="360"/>
      </w:pPr>
      <w:r>
        <w:t xml:space="preserve">The </w:t>
      </w:r>
      <w:r w:rsidR="00824D3E">
        <w:t>language of ‘protect and enhance’ in the objective is crucial</w:t>
      </w:r>
      <w:r>
        <w:t>,</w:t>
      </w:r>
      <w:r w:rsidR="00824D3E">
        <w:t xml:space="preserve"> as well as the provisions to</w:t>
      </w:r>
      <w:r>
        <w:t>:</w:t>
      </w:r>
    </w:p>
    <w:p w14:paraId="0DB787D5" w14:textId="77777777" w:rsidR="004F3755" w:rsidRDefault="004F3755" w:rsidP="009D3296">
      <w:pPr>
        <w:autoSpaceDE w:val="0"/>
        <w:autoSpaceDN w:val="0"/>
        <w:adjustRightInd w:val="0"/>
        <w:spacing w:after="0" w:line="240" w:lineRule="auto"/>
        <w:ind w:left="720"/>
        <w:rPr>
          <w:rFonts w:cstheme="minorHAnsi"/>
          <w:sz w:val="20"/>
          <w:szCs w:val="20"/>
        </w:rPr>
      </w:pPr>
    </w:p>
    <w:p w14:paraId="0F1F406B" w14:textId="79CECDBB" w:rsidR="00824D3E" w:rsidRDefault="00824D3E" w:rsidP="009D3296">
      <w:pPr>
        <w:autoSpaceDE w:val="0"/>
        <w:autoSpaceDN w:val="0"/>
        <w:adjustRightInd w:val="0"/>
        <w:spacing w:after="0" w:line="240" w:lineRule="auto"/>
        <w:ind w:left="720"/>
        <w:rPr>
          <w:rFonts w:cstheme="minorHAnsi"/>
          <w:sz w:val="20"/>
          <w:szCs w:val="20"/>
        </w:rPr>
      </w:pPr>
      <w:r w:rsidRPr="00824D3E">
        <w:rPr>
          <w:rFonts w:cstheme="minorHAnsi"/>
          <w:sz w:val="20"/>
          <w:szCs w:val="20"/>
        </w:rPr>
        <w:t xml:space="preserve">Protect the environmental, cultural and landscape values of </w:t>
      </w:r>
      <w:r w:rsidRPr="00824D3E">
        <w:rPr>
          <w:rFonts w:cstheme="minorHAnsi"/>
          <w:i/>
          <w:sz w:val="20"/>
          <w:szCs w:val="20"/>
        </w:rPr>
        <w:t>all</w:t>
      </w:r>
      <w:r w:rsidRPr="00824D3E">
        <w:rPr>
          <w:rFonts w:cstheme="minorHAnsi"/>
          <w:sz w:val="20"/>
          <w:szCs w:val="20"/>
        </w:rPr>
        <w:t xml:space="preserve"> water bodies and wetlands.</w:t>
      </w:r>
    </w:p>
    <w:p w14:paraId="0D3E1942" w14:textId="77777777" w:rsidR="00824D3E" w:rsidRPr="00824D3E" w:rsidRDefault="00824D3E" w:rsidP="009D3296">
      <w:pPr>
        <w:autoSpaceDE w:val="0"/>
        <w:autoSpaceDN w:val="0"/>
        <w:adjustRightInd w:val="0"/>
        <w:spacing w:after="0" w:line="240" w:lineRule="auto"/>
        <w:ind w:left="720"/>
        <w:rPr>
          <w:rFonts w:cstheme="minorHAnsi"/>
          <w:sz w:val="20"/>
          <w:szCs w:val="20"/>
        </w:rPr>
      </w:pPr>
    </w:p>
    <w:p w14:paraId="6D608FCA" w14:textId="21C45DBC" w:rsidR="00824D3E" w:rsidRDefault="00824D3E" w:rsidP="009D3296">
      <w:pPr>
        <w:autoSpaceDE w:val="0"/>
        <w:autoSpaceDN w:val="0"/>
        <w:adjustRightInd w:val="0"/>
        <w:spacing w:after="0" w:line="240" w:lineRule="auto"/>
        <w:ind w:left="720"/>
        <w:rPr>
          <w:rFonts w:cstheme="minorHAnsi"/>
          <w:sz w:val="20"/>
          <w:szCs w:val="20"/>
        </w:rPr>
      </w:pPr>
      <w:r w:rsidRPr="00824D3E">
        <w:rPr>
          <w:rFonts w:cstheme="minorHAnsi"/>
          <w:sz w:val="20"/>
          <w:szCs w:val="20"/>
        </w:rPr>
        <w:t xml:space="preserve">Ensure development </w:t>
      </w:r>
      <w:r w:rsidRPr="00824D3E">
        <w:rPr>
          <w:rFonts w:cstheme="minorHAnsi"/>
          <w:i/>
          <w:sz w:val="20"/>
          <w:szCs w:val="20"/>
        </w:rPr>
        <w:t>responds to and respects</w:t>
      </w:r>
      <w:r w:rsidRPr="00824D3E">
        <w:rPr>
          <w:rFonts w:cstheme="minorHAnsi"/>
          <w:sz w:val="20"/>
          <w:szCs w:val="20"/>
        </w:rPr>
        <w:t xml:space="preserve"> the significant environmental, conservation, cultural, aesthetic, open space, recreation and tourism assets of water bodies and wetlands.</w:t>
      </w:r>
    </w:p>
    <w:p w14:paraId="054CB391" w14:textId="77777777" w:rsidR="00824D3E" w:rsidRPr="00824D3E" w:rsidRDefault="00824D3E" w:rsidP="009D3296">
      <w:pPr>
        <w:autoSpaceDE w:val="0"/>
        <w:autoSpaceDN w:val="0"/>
        <w:adjustRightInd w:val="0"/>
        <w:spacing w:after="0" w:line="240" w:lineRule="auto"/>
        <w:ind w:left="720"/>
        <w:rPr>
          <w:rFonts w:cstheme="minorHAnsi"/>
          <w:sz w:val="20"/>
          <w:szCs w:val="20"/>
        </w:rPr>
      </w:pPr>
    </w:p>
    <w:p w14:paraId="3AFC97F9" w14:textId="77777777" w:rsidR="004F3755" w:rsidRDefault="00824D3E" w:rsidP="009D3296">
      <w:pPr>
        <w:autoSpaceDE w:val="0"/>
        <w:autoSpaceDN w:val="0"/>
        <w:adjustRightInd w:val="0"/>
        <w:spacing w:after="0" w:line="240" w:lineRule="auto"/>
        <w:ind w:left="720"/>
        <w:rPr>
          <w:rFonts w:cstheme="minorHAnsi"/>
          <w:sz w:val="20"/>
          <w:szCs w:val="20"/>
        </w:rPr>
      </w:pPr>
      <w:r w:rsidRPr="00824D3E">
        <w:rPr>
          <w:rFonts w:cstheme="minorHAnsi"/>
          <w:sz w:val="20"/>
          <w:szCs w:val="20"/>
        </w:rPr>
        <w:t xml:space="preserve">Ensure development is sensitively designed and sited to </w:t>
      </w:r>
      <w:r w:rsidRPr="00824D3E">
        <w:rPr>
          <w:rFonts w:cstheme="minorHAnsi"/>
          <w:i/>
          <w:sz w:val="20"/>
          <w:szCs w:val="20"/>
        </w:rPr>
        <w:t>maintain and enhance</w:t>
      </w:r>
      <w:r w:rsidRPr="00824D3E">
        <w:rPr>
          <w:rFonts w:cstheme="minorHAnsi"/>
          <w:sz w:val="20"/>
          <w:szCs w:val="20"/>
        </w:rPr>
        <w:t xml:space="preserve"> environmental assets, significant views and landscapes along river corridors and waterways and adjacent to lakes and wetlands</w:t>
      </w:r>
      <w:r w:rsidR="004F3755">
        <w:rPr>
          <w:rFonts w:cstheme="minorHAnsi"/>
          <w:sz w:val="20"/>
          <w:szCs w:val="20"/>
        </w:rPr>
        <w:t xml:space="preserve"> (emphasis added).</w:t>
      </w:r>
    </w:p>
    <w:p w14:paraId="2FA906C9" w14:textId="6ABAB1B1" w:rsidR="00824D3E" w:rsidRDefault="00824D3E" w:rsidP="009D3296">
      <w:pPr>
        <w:autoSpaceDE w:val="0"/>
        <w:autoSpaceDN w:val="0"/>
        <w:adjustRightInd w:val="0"/>
        <w:spacing w:after="0" w:line="240" w:lineRule="auto"/>
        <w:ind w:left="720"/>
        <w:rPr>
          <w:rFonts w:cstheme="minorHAnsi"/>
          <w:sz w:val="20"/>
          <w:szCs w:val="20"/>
        </w:rPr>
      </w:pPr>
    </w:p>
    <w:p w14:paraId="159D49AD" w14:textId="77777777" w:rsidR="00824D3E" w:rsidRPr="00824D3E" w:rsidRDefault="00824D3E" w:rsidP="00824D3E">
      <w:pPr>
        <w:autoSpaceDE w:val="0"/>
        <w:autoSpaceDN w:val="0"/>
        <w:adjustRightInd w:val="0"/>
        <w:spacing w:after="0" w:line="240" w:lineRule="auto"/>
        <w:ind w:left="720"/>
        <w:rPr>
          <w:rFonts w:cstheme="minorHAnsi"/>
          <w:sz w:val="20"/>
          <w:szCs w:val="20"/>
        </w:rPr>
      </w:pPr>
    </w:p>
    <w:p w14:paraId="3A253599" w14:textId="5A0DB314" w:rsidR="00824D3E" w:rsidRDefault="00EE75E0" w:rsidP="009D3296">
      <w:pPr>
        <w:pStyle w:val="ListParagraph"/>
        <w:numPr>
          <w:ilvl w:val="0"/>
          <w:numId w:val="6"/>
        </w:numPr>
        <w:ind w:left="360"/>
        <w:rPr>
          <w:rFonts w:cstheme="minorHAnsi"/>
        </w:rPr>
      </w:pPr>
      <w:r>
        <w:rPr>
          <w:rFonts w:cstheme="minorHAnsi"/>
        </w:rPr>
        <w:t xml:space="preserve">This sub-clause calls up the </w:t>
      </w:r>
      <w:r w:rsidRPr="009D3296">
        <w:rPr>
          <w:rFonts w:cstheme="minorHAnsi"/>
          <w:i/>
        </w:rPr>
        <w:t>Healthy Waterways Strategy</w:t>
      </w:r>
      <w:r w:rsidR="00A07EE8">
        <w:rPr>
          <w:rFonts w:cstheme="minorHAnsi"/>
          <w:iCs/>
        </w:rPr>
        <w:t xml:space="preserve"> </w:t>
      </w:r>
      <w:r w:rsidR="00A07EE8" w:rsidRPr="00A07EE8">
        <w:rPr>
          <w:rFonts w:cstheme="minorHAnsi"/>
          <w:i/>
        </w:rPr>
        <w:t>2018-2028</w:t>
      </w:r>
      <w:r w:rsidR="00E77A63">
        <w:rPr>
          <w:rFonts w:cstheme="minorHAnsi"/>
        </w:rPr>
        <w:t xml:space="preserve"> (‘</w:t>
      </w:r>
      <w:r w:rsidR="00E77A63" w:rsidRPr="009D3296">
        <w:rPr>
          <w:rFonts w:cstheme="minorHAnsi"/>
          <w:b/>
        </w:rPr>
        <w:t>HSW’</w:t>
      </w:r>
      <w:r w:rsidR="00E77A63">
        <w:rPr>
          <w:rFonts w:cstheme="minorHAnsi"/>
        </w:rPr>
        <w:t>)</w:t>
      </w:r>
      <w:r>
        <w:rPr>
          <w:rFonts w:cstheme="minorHAnsi"/>
        </w:rPr>
        <w:t xml:space="preserve">. </w:t>
      </w:r>
      <w:r w:rsidR="005A33EF">
        <w:rPr>
          <w:rFonts w:cstheme="minorHAnsi"/>
        </w:rPr>
        <w:t>The HWS is a</w:t>
      </w:r>
      <w:r w:rsidR="00E77A63">
        <w:rPr>
          <w:rFonts w:cstheme="minorHAnsi"/>
        </w:rPr>
        <w:t>n important</w:t>
      </w:r>
      <w:r w:rsidR="005A33EF">
        <w:rPr>
          <w:rFonts w:cstheme="minorHAnsi"/>
        </w:rPr>
        <w:t xml:space="preserve"> document</w:t>
      </w:r>
      <w:r w:rsidR="004F3755">
        <w:rPr>
          <w:rFonts w:cstheme="minorHAnsi"/>
        </w:rPr>
        <w:t xml:space="preserve">, which was the </w:t>
      </w:r>
      <w:r w:rsidR="005A33EF">
        <w:rPr>
          <w:rFonts w:cstheme="minorHAnsi"/>
        </w:rPr>
        <w:t>product of extensive technical input</w:t>
      </w:r>
      <w:r w:rsidR="004F3755">
        <w:rPr>
          <w:rFonts w:cstheme="minorHAnsi"/>
        </w:rPr>
        <w:t>, and</w:t>
      </w:r>
      <w:r w:rsidR="005A33EF">
        <w:rPr>
          <w:rFonts w:cstheme="minorHAnsi"/>
        </w:rPr>
        <w:t xml:space="preserve"> extraordinary degrees of </w:t>
      </w:r>
      <w:r w:rsidR="00A26BA6">
        <w:rPr>
          <w:rFonts w:cstheme="minorHAnsi"/>
        </w:rPr>
        <w:t xml:space="preserve">investment and </w:t>
      </w:r>
      <w:r w:rsidR="005A33EF">
        <w:rPr>
          <w:rFonts w:cstheme="minorHAnsi"/>
        </w:rPr>
        <w:t xml:space="preserve">collaboration across agencies, communities </w:t>
      </w:r>
      <w:r w:rsidR="00A26BA6">
        <w:rPr>
          <w:rFonts w:cstheme="minorHAnsi"/>
        </w:rPr>
        <w:t>and experts</w:t>
      </w:r>
      <w:r w:rsidR="005A33EF">
        <w:rPr>
          <w:rFonts w:cstheme="minorHAnsi"/>
        </w:rPr>
        <w:t>. None of that should be underestimated. Included in the goals for the Yarra catchment are the following:</w:t>
      </w:r>
    </w:p>
    <w:p w14:paraId="410F6EFC" w14:textId="77777777" w:rsidR="004F3755" w:rsidRDefault="004F3755" w:rsidP="009D3296">
      <w:pPr>
        <w:ind w:left="720"/>
        <w:rPr>
          <w:rFonts w:cstheme="minorHAnsi"/>
          <w:sz w:val="20"/>
          <w:szCs w:val="20"/>
        </w:rPr>
      </w:pPr>
    </w:p>
    <w:p w14:paraId="1E9E841E" w14:textId="493CEAFB" w:rsidR="005A33EF" w:rsidRPr="00461527" w:rsidRDefault="005A33EF" w:rsidP="009D3296">
      <w:pPr>
        <w:ind w:left="720"/>
        <w:rPr>
          <w:rFonts w:cstheme="minorHAnsi"/>
          <w:sz w:val="20"/>
          <w:szCs w:val="20"/>
        </w:rPr>
      </w:pPr>
      <w:r w:rsidRPr="00461527">
        <w:rPr>
          <w:rFonts w:cstheme="minorHAnsi"/>
          <w:sz w:val="20"/>
          <w:szCs w:val="20"/>
        </w:rPr>
        <w:t xml:space="preserve">The environmental values and significant ecological processes of all of the Yarra catchment waterways are protected and improved. </w:t>
      </w:r>
    </w:p>
    <w:p w14:paraId="174D11BE" w14:textId="06545EAE" w:rsidR="005A33EF" w:rsidRDefault="005A33EF" w:rsidP="009D3296">
      <w:pPr>
        <w:ind w:left="720"/>
        <w:rPr>
          <w:rFonts w:cstheme="minorHAnsi"/>
          <w:sz w:val="20"/>
          <w:szCs w:val="20"/>
        </w:rPr>
      </w:pPr>
      <w:r w:rsidRPr="00461527">
        <w:rPr>
          <w:rFonts w:cstheme="minorHAnsi"/>
          <w:sz w:val="20"/>
          <w:szCs w:val="20"/>
        </w:rPr>
        <w:t>Riparian and in-stream habitats provide landscape connectivity, allowing the movement of native species and promoting resilient native flora and fauna populations</w:t>
      </w:r>
      <w:r w:rsidR="009C5977">
        <w:rPr>
          <w:rFonts w:cstheme="minorHAnsi"/>
          <w:sz w:val="20"/>
          <w:szCs w:val="20"/>
        </w:rPr>
        <w:t>.</w:t>
      </w:r>
      <w:r w:rsidR="009C5977">
        <w:rPr>
          <w:rStyle w:val="FootnoteReference"/>
          <w:rFonts w:cstheme="minorHAnsi"/>
          <w:sz w:val="20"/>
          <w:szCs w:val="20"/>
        </w:rPr>
        <w:footnoteReference w:id="28"/>
      </w:r>
      <w:r w:rsidRPr="00461527">
        <w:rPr>
          <w:rFonts w:cstheme="minorHAnsi"/>
          <w:sz w:val="20"/>
          <w:szCs w:val="20"/>
        </w:rPr>
        <w:t xml:space="preserve"> </w:t>
      </w:r>
    </w:p>
    <w:p w14:paraId="6451DB73" w14:textId="77777777" w:rsidR="004F3755" w:rsidRPr="00461527" w:rsidRDefault="004F3755" w:rsidP="009D3296">
      <w:pPr>
        <w:ind w:left="720"/>
        <w:rPr>
          <w:rFonts w:cstheme="minorHAnsi"/>
          <w:sz w:val="20"/>
          <w:szCs w:val="20"/>
        </w:rPr>
      </w:pPr>
    </w:p>
    <w:p w14:paraId="66F47BA1" w14:textId="77777777" w:rsidR="004F3755" w:rsidRDefault="004662B0" w:rsidP="009D3296">
      <w:pPr>
        <w:pStyle w:val="ListParagraph"/>
        <w:numPr>
          <w:ilvl w:val="0"/>
          <w:numId w:val="6"/>
        </w:numPr>
        <w:ind w:left="360"/>
        <w:rPr>
          <w:rFonts w:cstheme="minorHAnsi"/>
        </w:rPr>
      </w:pPr>
      <w:r w:rsidRPr="00A26BA6">
        <w:rPr>
          <w:rFonts w:cstheme="minorHAnsi"/>
        </w:rPr>
        <w:t xml:space="preserve">The HWS </w:t>
      </w:r>
      <w:r w:rsidR="00302625" w:rsidRPr="00A26BA6">
        <w:rPr>
          <w:rFonts w:cstheme="minorHAnsi"/>
        </w:rPr>
        <w:t>will</w:t>
      </w:r>
      <w:r w:rsidRPr="00A26BA6">
        <w:rPr>
          <w:rFonts w:cstheme="minorHAnsi"/>
        </w:rPr>
        <w:t xml:space="preserve"> </w:t>
      </w:r>
      <w:r w:rsidR="004F3755">
        <w:rPr>
          <w:rFonts w:cstheme="minorHAnsi"/>
        </w:rPr>
        <w:t xml:space="preserve">be </w:t>
      </w:r>
      <w:r w:rsidRPr="00A26BA6">
        <w:rPr>
          <w:rFonts w:cstheme="minorHAnsi"/>
        </w:rPr>
        <w:t>a companion document to the</w:t>
      </w:r>
      <w:r w:rsidR="008C1156" w:rsidRPr="00A26BA6">
        <w:rPr>
          <w:rFonts w:cstheme="minorHAnsi"/>
        </w:rPr>
        <w:t xml:space="preserve"> (eventual)</w:t>
      </w:r>
      <w:r w:rsidRPr="00A26BA6">
        <w:rPr>
          <w:rFonts w:cstheme="minorHAnsi"/>
        </w:rPr>
        <w:t xml:space="preserve"> Yarra Strategic Plan. The HWS takes into account not only the main channel of the Yarra River</w:t>
      </w:r>
      <w:r w:rsidR="00711365" w:rsidRPr="00A26BA6">
        <w:rPr>
          <w:rFonts w:cstheme="minorHAnsi"/>
        </w:rPr>
        <w:t xml:space="preserve"> and ‘Yarra River land’</w:t>
      </w:r>
      <w:r w:rsidRPr="00A26BA6">
        <w:rPr>
          <w:rFonts w:cstheme="minorHAnsi"/>
        </w:rPr>
        <w:t xml:space="preserve"> but its catchment and tributaries. It recognises</w:t>
      </w:r>
      <w:r w:rsidR="000C49ED" w:rsidRPr="00A26BA6">
        <w:rPr>
          <w:rFonts w:cstheme="minorHAnsi"/>
        </w:rPr>
        <w:t xml:space="preserve"> and promotes</w:t>
      </w:r>
      <w:r w:rsidRPr="00A26BA6">
        <w:rPr>
          <w:rFonts w:cstheme="minorHAnsi"/>
        </w:rPr>
        <w:t xml:space="preserve"> the connectivity of these entities. </w:t>
      </w:r>
      <w:r w:rsidR="00E93238" w:rsidRPr="00A26BA6">
        <w:rPr>
          <w:rFonts w:cstheme="minorHAnsi"/>
        </w:rPr>
        <w:t xml:space="preserve">The </w:t>
      </w:r>
      <w:r w:rsidR="00F716C1" w:rsidRPr="00A26BA6">
        <w:rPr>
          <w:rFonts w:cstheme="minorHAnsi"/>
        </w:rPr>
        <w:t>performance objectives</w:t>
      </w:r>
      <w:r w:rsidR="00E93238" w:rsidRPr="00A26BA6">
        <w:rPr>
          <w:rFonts w:cstheme="minorHAnsi"/>
        </w:rPr>
        <w:t xml:space="preserve"> </w:t>
      </w:r>
      <w:r w:rsidR="00F85318" w:rsidRPr="00A26BA6">
        <w:rPr>
          <w:rFonts w:cstheme="minorHAnsi"/>
        </w:rPr>
        <w:t>the HWS</w:t>
      </w:r>
      <w:r w:rsidR="00F716C1" w:rsidRPr="00A26BA6">
        <w:rPr>
          <w:rFonts w:cstheme="minorHAnsi"/>
        </w:rPr>
        <w:t xml:space="preserve"> sets are</w:t>
      </w:r>
      <w:r w:rsidR="00F85318" w:rsidRPr="00A26BA6">
        <w:rPr>
          <w:rFonts w:cstheme="minorHAnsi"/>
        </w:rPr>
        <w:t xml:space="preserve"> </w:t>
      </w:r>
      <w:r w:rsidR="00E93238" w:rsidRPr="00A26BA6">
        <w:rPr>
          <w:rFonts w:cstheme="minorHAnsi"/>
        </w:rPr>
        <w:t>intended, in our submission, to enable trajectories of improvement, not gradual decline.</w:t>
      </w:r>
    </w:p>
    <w:p w14:paraId="62930FC2" w14:textId="77777777" w:rsidR="004F3755" w:rsidRDefault="004F3755" w:rsidP="009D3296">
      <w:pPr>
        <w:pStyle w:val="ListParagraph"/>
        <w:ind w:left="360"/>
        <w:rPr>
          <w:rFonts w:cstheme="minorHAnsi"/>
        </w:rPr>
      </w:pPr>
    </w:p>
    <w:p w14:paraId="7D602A78" w14:textId="02C5FC11" w:rsidR="005A33EF" w:rsidRDefault="002D7A1D" w:rsidP="009D3296">
      <w:pPr>
        <w:pStyle w:val="ListParagraph"/>
        <w:numPr>
          <w:ilvl w:val="0"/>
          <w:numId w:val="6"/>
        </w:numPr>
        <w:ind w:left="360"/>
        <w:rPr>
          <w:rFonts w:cstheme="minorHAnsi"/>
        </w:rPr>
      </w:pPr>
      <w:r w:rsidRPr="00A26BA6">
        <w:rPr>
          <w:rFonts w:cstheme="minorHAnsi"/>
        </w:rPr>
        <w:t xml:space="preserve">The ecological </w:t>
      </w:r>
      <w:r w:rsidR="00A26BA6">
        <w:rPr>
          <w:rFonts w:cstheme="minorHAnsi"/>
        </w:rPr>
        <w:t xml:space="preserve">and surface water </w:t>
      </w:r>
      <w:r w:rsidR="00C273E4">
        <w:rPr>
          <w:rFonts w:cstheme="minorHAnsi"/>
        </w:rPr>
        <w:t>evidence before the IAC</w:t>
      </w:r>
      <w:r w:rsidRPr="00A26BA6">
        <w:rPr>
          <w:rFonts w:cstheme="minorHAnsi"/>
        </w:rPr>
        <w:t xml:space="preserve"> </w:t>
      </w:r>
      <w:r w:rsidR="00576EE1" w:rsidRPr="00A26BA6">
        <w:rPr>
          <w:rFonts w:cstheme="minorHAnsi"/>
        </w:rPr>
        <w:t xml:space="preserve">is that affected waterways and wetlands </w:t>
      </w:r>
      <w:r w:rsidR="00CA4E46" w:rsidRPr="00A26BA6">
        <w:rPr>
          <w:rFonts w:cstheme="minorHAnsi"/>
        </w:rPr>
        <w:t>either will suffer further decline and deterioration as a result of the NELP</w:t>
      </w:r>
      <w:r w:rsidR="00F85318" w:rsidRPr="00A26BA6">
        <w:rPr>
          <w:rFonts w:cstheme="minorHAnsi"/>
        </w:rPr>
        <w:t>,</w:t>
      </w:r>
      <w:r w:rsidR="00CA4E46" w:rsidRPr="00A26BA6">
        <w:rPr>
          <w:rFonts w:cstheme="minorHAnsi"/>
        </w:rPr>
        <w:t xml:space="preserve"> or, at best, there is insufficient knowledge to find </w:t>
      </w:r>
      <w:r w:rsidR="000445E9" w:rsidRPr="00A26BA6">
        <w:rPr>
          <w:rFonts w:cstheme="minorHAnsi"/>
        </w:rPr>
        <w:t>that the health of waterways will be maintai</w:t>
      </w:r>
      <w:r w:rsidR="00F85318" w:rsidRPr="00A26BA6">
        <w:rPr>
          <w:rFonts w:cstheme="minorHAnsi"/>
        </w:rPr>
        <w:t xml:space="preserve">ned or not deteriorate further as a consequence of the NELP. </w:t>
      </w:r>
    </w:p>
    <w:p w14:paraId="1F1ECD0A" w14:textId="77777777" w:rsidR="00A26BA6" w:rsidRDefault="00A26BA6" w:rsidP="009D3296">
      <w:pPr>
        <w:pStyle w:val="ListParagraph"/>
        <w:ind w:left="360"/>
        <w:rPr>
          <w:rFonts w:cstheme="minorHAnsi"/>
        </w:rPr>
      </w:pPr>
    </w:p>
    <w:p w14:paraId="67995919" w14:textId="612C5FF0" w:rsidR="00A26BA6" w:rsidRDefault="004F3755" w:rsidP="009D3296">
      <w:pPr>
        <w:pStyle w:val="ListParagraph"/>
        <w:numPr>
          <w:ilvl w:val="0"/>
          <w:numId w:val="6"/>
        </w:numPr>
        <w:ind w:left="360"/>
        <w:rPr>
          <w:rFonts w:cstheme="minorHAnsi"/>
        </w:rPr>
      </w:pPr>
      <w:r>
        <w:rPr>
          <w:rFonts w:cstheme="minorHAnsi"/>
        </w:rPr>
        <w:t>W</w:t>
      </w:r>
      <w:r w:rsidR="00A26BA6">
        <w:rPr>
          <w:rFonts w:cstheme="minorHAnsi"/>
        </w:rPr>
        <w:t>e submit that the EMF is unlikely do the work of achieving the standards set under planning p</w:t>
      </w:r>
      <w:r w:rsidR="009C7B93">
        <w:rPr>
          <w:rFonts w:cstheme="minorHAnsi"/>
        </w:rPr>
        <w:t>olicy and the HWS for contemporary and future management of</w:t>
      </w:r>
      <w:r w:rsidR="00A26BA6">
        <w:rPr>
          <w:rFonts w:cstheme="minorHAnsi"/>
        </w:rPr>
        <w:t xml:space="preserve"> waterways</w:t>
      </w:r>
      <w:r>
        <w:rPr>
          <w:rFonts w:cstheme="minorHAnsi"/>
        </w:rPr>
        <w:t xml:space="preserve">. </w:t>
      </w:r>
      <w:r w:rsidR="005063EE">
        <w:rPr>
          <w:rFonts w:cstheme="minorHAnsi"/>
        </w:rPr>
        <w:t xml:space="preserve">We make further submissions on these points below. </w:t>
      </w:r>
    </w:p>
    <w:p w14:paraId="10F99C88" w14:textId="77777777" w:rsidR="001F0CA0" w:rsidRPr="001F0CA0" w:rsidRDefault="001F0CA0" w:rsidP="001F0CA0">
      <w:pPr>
        <w:pStyle w:val="ListParagraph"/>
        <w:rPr>
          <w:rFonts w:cstheme="minorHAnsi"/>
        </w:rPr>
      </w:pPr>
    </w:p>
    <w:p w14:paraId="27463F3F" w14:textId="77777777" w:rsidR="007610F2" w:rsidRDefault="007610F2" w:rsidP="002529C8">
      <w:pPr>
        <w:rPr>
          <w:rFonts w:cstheme="minorHAnsi"/>
          <w:i/>
        </w:rPr>
      </w:pPr>
    </w:p>
    <w:p w14:paraId="28438C9E" w14:textId="4F29C144" w:rsidR="007610F2" w:rsidRPr="007610F2" w:rsidRDefault="001F0CA0" w:rsidP="007610F2">
      <w:pPr>
        <w:rPr>
          <w:rFonts w:cstheme="minorHAnsi"/>
          <w:i/>
        </w:rPr>
      </w:pPr>
      <w:r w:rsidRPr="002B2A04">
        <w:rPr>
          <w:rFonts w:cstheme="minorHAnsi"/>
          <w:i/>
        </w:rPr>
        <w:lastRenderedPageBreak/>
        <w:t>Biodiversity protection in planning policy</w:t>
      </w:r>
    </w:p>
    <w:p w14:paraId="13D1A9E5" w14:textId="1B5B89FE" w:rsidR="00C273E4" w:rsidRPr="00C273E4" w:rsidRDefault="008B6D84" w:rsidP="00C273E4">
      <w:pPr>
        <w:pStyle w:val="ListParagraph"/>
        <w:numPr>
          <w:ilvl w:val="0"/>
          <w:numId w:val="6"/>
        </w:numPr>
        <w:ind w:left="360"/>
        <w:rPr>
          <w:rFonts w:cstheme="minorHAnsi"/>
        </w:rPr>
      </w:pPr>
      <w:r>
        <w:rPr>
          <w:rFonts w:cstheme="minorHAnsi"/>
        </w:rPr>
        <w:t xml:space="preserve">Biodiversity protections under the VPPs, and specifically </w:t>
      </w:r>
      <w:r w:rsidR="00EB531E">
        <w:rPr>
          <w:rFonts w:cstheme="minorHAnsi"/>
        </w:rPr>
        <w:t>clause 12.01-01S</w:t>
      </w:r>
      <w:r>
        <w:rPr>
          <w:rFonts w:cstheme="minorHAnsi"/>
        </w:rPr>
        <w:t>,</w:t>
      </w:r>
      <w:r w:rsidR="00564A8C">
        <w:rPr>
          <w:rStyle w:val="FootnoteReference"/>
          <w:rFonts w:cstheme="minorHAnsi"/>
        </w:rPr>
        <w:footnoteReference w:id="29"/>
      </w:r>
      <w:r>
        <w:rPr>
          <w:rFonts w:cstheme="minorHAnsi"/>
        </w:rPr>
        <w:t xml:space="preserve"> provide the relevant planning strategies </w:t>
      </w:r>
      <w:r w:rsidR="00715DF1">
        <w:rPr>
          <w:rFonts w:cstheme="minorHAnsi"/>
        </w:rPr>
        <w:t>includ</w:t>
      </w:r>
      <w:r>
        <w:rPr>
          <w:rFonts w:cstheme="minorHAnsi"/>
        </w:rPr>
        <w:t>ing:</w:t>
      </w:r>
      <w:r w:rsidR="00715DF1">
        <w:rPr>
          <w:rFonts w:cstheme="minorHAnsi"/>
        </w:rPr>
        <w:t xml:space="preserve"> </w:t>
      </w:r>
    </w:p>
    <w:p w14:paraId="1D7F33AE" w14:textId="7EA82649" w:rsidR="00715DF1" w:rsidRPr="00715DF1" w:rsidRDefault="00715DF1" w:rsidP="009D3296">
      <w:pPr>
        <w:ind w:left="720"/>
        <w:rPr>
          <w:rFonts w:cstheme="minorHAnsi"/>
          <w:sz w:val="20"/>
          <w:szCs w:val="20"/>
        </w:rPr>
      </w:pPr>
      <w:r w:rsidRPr="00715DF1">
        <w:rPr>
          <w:rFonts w:cstheme="minorHAnsi"/>
          <w:sz w:val="20"/>
          <w:szCs w:val="20"/>
        </w:rPr>
        <w:t>Strategically plan for the protection and conservation of Victoria’s important areas of biodiversity…</w:t>
      </w:r>
    </w:p>
    <w:p w14:paraId="216DD91B" w14:textId="588BB30D" w:rsidR="00715DF1" w:rsidRPr="00715DF1" w:rsidRDefault="00715DF1" w:rsidP="009D3296">
      <w:pPr>
        <w:ind w:left="720"/>
        <w:rPr>
          <w:rFonts w:cstheme="minorHAnsi"/>
          <w:sz w:val="20"/>
          <w:szCs w:val="20"/>
        </w:rPr>
      </w:pPr>
      <w:r w:rsidRPr="00715DF1">
        <w:rPr>
          <w:rFonts w:cstheme="minorHAnsi"/>
          <w:sz w:val="20"/>
          <w:szCs w:val="20"/>
        </w:rPr>
        <w:t>Avoid impacts of land use and development on important areas of biodiversity</w:t>
      </w:r>
      <w:r w:rsidR="00C273E4">
        <w:rPr>
          <w:rFonts w:cstheme="minorHAnsi"/>
          <w:sz w:val="20"/>
          <w:szCs w:val="20"/>
        </w:rPr>
        <w:t>.</w:t>
      </w:r>
    </w:p>
    <w:p w14:paraId="7E97E64F" w14:textId="5E32EE64" w:rsidR="00715DF1" w:rsidRPr="00715DF1" w:rsidRDefault="00715DF1" w:rsidP="009D3296">
      <w:pPr>
        <w:autoSpaceDE w:val="0"/>
        <w:autoSpaceDN w:val="0"/>
        <w:adjustRightInd w:val="0"/>
        <w:spacing w:after="0" w:line="240" w:lineRule="auto"/>
        <w:ind w:left="720"/>
        <w:rPr>
          <w:rFonts w:cstheme="minorHAnsi"/>
          <w:sz w:val="20"/>
          <w:szCs w:val="20"/>
        </w:rPr>
      </w:pPr>
      <w:r w:rsidRPr="00715DF1">
        <w:rPr>
          <w:rFonts w:cstheme="minorHAnsi"/>
          <w:sz w:val="20"/>
          <w:szCs w:val="20"/>
        </w:rPr>
        <w:t>Assist in the identification, protection and management of important areas of biodiversity.</w:t>
      </w:r>
    </w:p>
    <w:p w14:paraId="62F064AB" w14:textId="77777777" w:rsidR="00715DF1" w:rsidRPr="00715DF1" w:rsidRDefault="00715DF1" w:rsidP="009D3296">
      <w:pPr>
        <w:autoSpaceDE w:val="0"/>
        <w:autoSpaceDN w:val="0"/>
        <w:adjustRightInd w:val="0"/>
        <w:spacing w:after="0" w:line="240" w:lineRule="auto"/>
        <w:ind w:left="720"/>
        <w:rPr>
          <w:rFonts w:cstheme="minorHAnsi"/>
          <w:sz w:val="20"/>
          <w:szCs w:val="20"/>
        </w:rPr>
      </w:pPr>
    </w:p>
    <w:p w14:paraId="0774F679" w14:textId="592E2D30" w:rsidR="00715DF1" w:rsidRPr="00715DF1" w:rsidRDefault="00715DF1" w:rsidP="009D3296">
      <w:pPr>
        <w:autoSpaceDE w:val="0"/>
        <w:autoSpaceDN w:val="0"/>
        <w:adjustRightInd w:val="0"/>
        <w:spacing w:after="0" w:line="240" w:lineRule="auto"/>
        <w:ind w:left="720"/>
        <w:rPr>
          <w:rFonts w:cstheme="minorHAnsi"/>
        </w:rPr>
      </w:pPr>
      <w:r w:rsidRPr="00715DF1">
        <w:rPr>
          <w:rFonts w:cstheme="minorHAnsi"/>
          <w:sz w:val="20"/>
          <w:szCs w:val="20"/>
        </w:rPr>
        <w:t>Assist in the establishment, protection and re-establishment of links between important areas of biodiversity, including through a network of green spaces and large-scale native vegetation corridor projects</w:t>
      </w:r>
      <w:r w:rsidR="00C273E4">
        <w:rPr>
          <w:rFonts w:cstheme="minorHAnsi"/>
          <w:sz w:val="20"/>
          <w:szCs w:val="20"/>
        </w:rPr>
        <w:t>.</w:t>
      </w:r>
    </w:p>
    <w:p w14:paraId="482D599F" w14:textId="77777777" w:rsidR="00A26BA6" w:rsidRPr="00C273E4" w:rsidRDefault="00A26BA6" w:rsidP="00C273E4">
      <w:pPr>
        <w:rPr>
          <w:rFonts w:cstheme="minorHAnsi"/>
        </w:rPr>
      </w:pPr>
    </w:p>
    <w:p w14:paraId="5EFF0209" w14:textId="1DDC477B" w:rsidR="00C273E4" w:rsidRPr="00C273E4" w:rsidRDefault="00046F5A" w:rsidP="00C273E4">
      <w:pPr>
        <w:pStyle w:val="ListParagraph"/>
        <w:numPr>
          <w:ilvl w:val="0"/>
          <w:numId w:val="6"/>
        </w:numPr>
        <w:ind w:left="360"/>
        <w:rPr>
          <w:rFonts w:cstheme="minorHAnsi"/>
        </w:rPr>
      </w:pPr>
      <w:r>
        <w:rPr>
          <w:rFonts w:cstheme="minorHAnsi"/>
        </w:rPr>
        <w:t>The planning objective for biodiversity management is:</w:t>
      </w:r>
    </w:p>
    <w:p w14:paraId="1D77AE84" w14:textId="7CBB3CB8" w:rsidR="00C273E4" w:rsidRDefault="00046F5A" w:rsidP="00C273E4">
      <w:pPr>
        <w:ind w:left="720"/>
        <w:rPr>
          <w:rFonts w:cstheme="minorHAnsi"/>
          <w:sz w:val="20"/>
          <w:szCs w:val="20"/>
        </w:rPr>
      </w:pPr>
      <w:r w:rsidRPr="00046F5A">
        <w:rPr>
          <w:rFonts w:cstheme="minorHAnsi"/>
          <w:sz w:val="20"/>
          <w:szCs w:val="20"/>
        </w:rPr>
        <w:t>To assist the protection and conservation of Victoria’s biodiversity</w:t>
      </w:r>
      <w:r w:rsidR="00C273E4">
        <w:rPr>
          <w:rFonts w:cstheme="minorHAnsi"/>
          <w:sz w:val="20"/>
          <w:szCs w:val="20"/>
        </w:rPr>
        <w:t>.</w:t>
      </w:r>
    </w:p>
    <w:p w14:paraId="36154E30" w14:textId="77777777" w:rsidR="00C273E4" w:rsidRPr="00C273E4" w:rsidRDefault="00C273E4" w:rsidP="00C273E4">
      <w:pPr>
        <w:rPr>
          <w:rFonts w:cstheme="minorHAnsi"/>
          <w:sz w:val="20"/>
          <w:szCs w:val="20"/>
        </w:rPr>
      </w:pPr>
    </w:p>
    <w:p w14:paraId="45F0BF11" w14:textId="28862905" w:rsidR="00715DF1" w:rsidRDefault="00715DF1" w:rsidP="00C273E4">
      <w:pPr>
        <w:pStyle w:val="ListParagraph"/>
        <w:numPr>
          <w:ilvl w:val="0"/>
          <w:numId w:val="6"/>
        </w:numPr>
        <w:ind w:left="360"/>
        <w:rPr>
          <w:rFonts w:cstheme="minorHAnsi"/>
        </w:rPr>
      </w:pPr>
      <w:r>
        <w:rPr>
          <w:rFonts w:cstheme="minorHAnsi"/>
        </w:rPr>
        <w:t>Accounting for cumulative impacts and habitat fragmentation in decision-making is also relevant. The ecological evidence is that the proposed Reference Design will contribute to habitat fragmentation and ongoing cumulative losses of urban biodiversity. W</w:t>
      </w:r>
      <w:r w:rsidR="008B6D84">
        <w:rPr>
          <w:rFonts w:cstheme="minorHAnsi"/>
        </w:rPr>
        <w:t>e address this issue below</w:t>
      </w:r>
      <w:r w:rsidR="007610F2">
        <w:rPr>
          <w:rFonts w:cstheme="minorHAnsi"/>
        </w:rPr>
        <w:t>.</w:t>
      </w:r>
    </w:p>
    <w:p w14:paraId="3DE0676E" w14:textId="77777777" w:rsidR="00C273E4" w:rsidRPr="00C273E4" w:rsidRDefault="00C273E4" w:rsidP="00C273E4">
      <w:pPr>
        <w:pStyle w:val="ListParagraph"/>
        <w:ind w:left="360"/>
        <w:rPr>
          <w:rFonts w:cstheme="minorHAnsi"/>
        </w:rPr>
      </w:pPr>
    </w:p>
    <w:p w14:paraId="3964629C" w14:textId="608927C9" w:rsidR="00715DF1" w:rsidRDefault="00715DF1" w:rsidP="009D3296">
      <w:pPr>
        <w:pStyle w:val="ListParagraph"/>
        <w:numPr>
          <w:ilvl w:val="0"/>
          <w:numId w:val="6"/>
        </w:numPr>
        <w:ind w:left="360"/>
        <w:rPr>
          <w:rFonts w:cstheme="minorHAnsi"/>
        </w:rPr>
      </w:pPr>
      <w:r>
        <w:rPr>
          <w:rFonts w:cstheme="minorHAnsi"/>
        </w:rPr>
        <w:t xml:space="preserve">In relation to </w:t>
      </w:r>
      <w:r w:rsidR="00015D8C">
        <w:rPr>
          <w:rFonts w:cstheme="minorHAnsi"/>
        </w:rPr>
        <w:t>the above strategies</w:t>
      </w:r>
      <w:r w:rsidR="00A3064A">
        <w:rPr>
          <w:rFonts w:cstheme="minorHAnsi"/>
        </w:rPr>
        <w:t>,</w:t>
      </w:r>
      <w:r w:rsidR="00015D8C">
        <w:rPr>
          <w:rFonts w:cstheme="minorHAnsi"/>
        </w:rPr>
        <w:t xml:space="preserve"> these are strong biodiversity protections, including inter alia ‘avoidance’ of impacts on important areas of biodiversity. In our submi</w:t>
      </w:r>
      <w:r w:rsidR="00A3064A">
        <w:rPr>
          <w:rFonts w:cstheme="minorHAnsi"/>
        </w:rPr>
        <w:t>ssion</w:t>
      </w:r>
      <w:r w:rsidR="00015D8C">
        <w:rPr>
          <w:rFonts w:cstheme="minorHAnsi"/>
        </w:rPr>
        <w:t xml:space="preserve"> </w:t>
      </w:r>
      <w:r w:rsidR="00435823">
        <w:rPr>
          <w:rFonts w:cstheme="minorHAnsi"/>
        </w:rPr>
        <w:t>three</w:t>
      </w:r>
      <w:r w:rsidR="00C273E4">
        <w:rPr>
          <w:rFonts w:cstheme="minorHAnsi"/>
        </w:rPr>
        <w:t xml:space="preserve"> connected areas within the project a</w:t>
      </w:r>
      <w:r w:rsidR="00015D8C">
        <w:rPr>
          <w:rFonts w:cstheme="minorHAnsi"/>
        </w:rPr>
        <w:t xml:space="preserve">rea are </w:t>
      </w:r>
      <w:r w:rsidR="00AE2147">
        <w:rPr>
          <w:rFonts w:cstheme="minorHAnsi"/>
        </w:rPr>
        <w:t xml:space="preserve">particularly </w:t>
      </w:r>
      <w:r w:rsidR="00015D8C">
        <w:rPr>
          <w:rFonts w:cstheme="minorHAnsi"/>
        </w:rPr>
        <w:t xml:space="preserve">‘important areas of biodiversity’: the Yarra River corridor and floodplains, </w:t>
      </w:r>
      <w:r w:rsidR="00435823">
        <w:rPr>
          <w:rFonts w:cstheme="minorHAnsi"/>
        </w:rPr>
        <w:t xml:space="preserve">the </w:t>
      </w:r>
      <w:proofErr w:type="spellStart"/>
      <w:r w:rsidR="00435823">
        <w:rPr>
          <w:rFonts w:cstheme="minorHAnsi"/>
        </w:rPr>
        <w:t>Koonung</w:t>
      </w:r>
      <w:proofErr w:type="spellEnd"/>
      <w:r w:rsidR="00435823">
        <w:rPr>
          <w:rFonts w:cstheme="minorHAnsi"/>
        </w:rPr>
        <w:t xml:space="preserve"> Creek corridor, and the Simpson Army Barracks. </w:t>
      </w:r>
    </w:p>
    <w:p w14:paraId="695E44B6" w14:textId="77777777" w:rsidR="00A3064A" w:rsidRPr="00A3064A" w:rsidRDefault="00A3064A" w:rsidP="009D3296">
      <w:pPr>
        <w:pStyle w:val="ListParagraph"/>
        <w:ind w:left="360"/>
        <w:rPr>
          <w:rFonts w:cstheme="minorHAnsi"/>
        </w:rPr>
      </w:pPr>
    </w:p>
    <w:p w14:paraId="617A12B6" w14:textId="06E77EFA" w:rsidR="00A3064A" w:rsidRDefault="00BA3063" w:rsidP="009D3296">
      <w:pPr>
        <w:pStyle w:val="ListParagraph"/>
        <w:numPr>
          <w:ilvl w:val="0"/>
          <w:numId w:val="6"/>
        </w:numPr>
        <w:ind w:left="360"/>
        <w:rPr>
          <w:rFonts w:cstheme="minorHAnsi"/>
        </w:rPr>
      </w:pPr>
      <w:r>
        <w:rPr>
          <w:rFonts w:cstheme="minorHAnsi"/>
        </w:rPr>
        <w:t>The Yarra River corridor is well-recognised under the VPPs and by way of its own legislation</w:t>
      </w:r>
      <w:r w:rsidR="008B6D84">
        <w:rPr>
          <w:rFonts w:cstheme="minorHAnsi"/>
        </w:rPr>
        <w:t>.</w:t>
      </w:r>
      <w:r w:rsidR="008B6D84">
        <w:rPr>
          <w:rStyle w:val="FootnoteReference"/>
          <w:rFonts w:cstheme="minorHAnsi"/>
        </w:rPr>
        <w:footnoteReference w:id="30"/>
      </w:r>
      <w:r>
        <w:rPr>
          <w:rFonts w:cstheme="minorHAnsi"/>
        </w:rPr>
        <w:t xml:space="preserve"> </w:t>
      </w:r>
    </w:p>
    <w:p w14:paraId="7B46A142" w14:textId="77777777" w:rsidR="00BA3063" w:rsidRPr="00BA3063" w:rsidRDefault="00BA3063" w:rsidP="009D3296">
      <w:pPr>
        <w:pStyle w:val="ListParagraph"/>
        <w:ind w:left="360"/>
        <w:rPr>
          <w:rFonts w:cstheme="minorHAnsi"/>
        </w:rPr>
      </w:pPr>
    </w:p>
    <w:p w14:paraId="28B9380E" w14:textId="651DA008" w:rsidR="00BA3063" w:rsidRPr="009D3296" w:rsidRDefault="00BA3063" w:rsidP="009D3296">
      <w:pPr>
        <w:pStyle w:val="ListParagraph"/>
        <w:numPr>
          <w:ilvl w:val="0"/>
          <w:numId w:val="6"/>
        </w:numPr>
        <w:ind w:left="360"/>
        <w:rPr>
          <w:rFonts w:cstheme="minorHAnsi"/>
        </w:rPr>
      </w:pPr>
      <w:proofErr w:type="spellStart"/>
      <w:r w:rsidRPr="009D3296">
        <w:rPr>
          <w:rFonts w:cstheme="minorHAnsi"/>
        </w:rPr>
        <w:t>Koonung</w:t>
      </w:r>
      <w:proofErr w:type="spellEnd"/>
      <w:r w:rsidRPr="009D3296">
        <w:rPr>
          <w:rFonts w:cstheme="minorHAnsi"/>
        </w:rPr>
        <w:t xml:space="preserve"> Creek is a regional significant </w:t>
      </w:r>
      <w:proofErr w:type="spellStart"/>
      <w:r w:rsidRPr="009D3296">
        <w:rPr>
          <w:rFonts w:cstheme="minorHAnsi"/>
        </w:rPr>
        <w:t>biosite</w:t>
      </w:r>
      <w:proofErr w:type="spellEnd"/>
      <w:r w:rsidR="008B6D84" w:rsidRPr="009D3296">
        <w:rPr>
          <w:rFonts w:cstheme="minorHAnsi"/>
        </w:rPr>
        <w:t>.</w:t>
      </w:r>
      <w:r w:rsidRPr="009D3296">
        <w:rPr>
          <w:rStyle w:val="FootnoteReference"/>
          <w:rFonts w:cstheme="minorHAnsi"/>
        </w:rPr>
        <w:footnoteReference w:id="31"/>
      </w:r>
      <w:r w:rsidR="002546E8">
        <w:rPr>
          <w:rFonts w:cstheme="minorHAnsi"/>
        </w:rPr>
        <w:t xml:space="preserve"> </w:t>
      </w:r>
      <w:r w:rsidR="008B6D84" w:rsidRPr="009D3296">
        <w:rPr>
          <w:rFonts w:cstheme="minorHAnsi"/>
        </w:rPr>
        <w:t>I</w:t>
      </w:r>
      <w:r w:rsidRPr="009D3296">
        <w:rPr>
          <w:rFonts w:cstheme="minorHAnsi"/>
        </w:rPr>
        <w:t xml:space="preserve">t was accepted by Mr </w:t>
      </w:r>
      <w:r w:rsidR="008B6D84" w:rsidRPr="009D3296">
        <w:rPr>
          <w:rFonts w:cstheme="minorHAnsi"/>
        </w:rPr>
        <w:t xml:space="preserve">Brett </w:t>
      </w:r>
      <w:r w:rsidRPr="009D3296">
        <w:rPr>
          <w:rFonts w:cstheme="minorHAnsi"/>
        </w:rPr>
        <w:t>Lane is his cross-examination that this creek corridor is an important area of biodiversity.</w:t>
      </w:r>
      <w:r w:rsidRPr="009D3296">
        <w:rPr>
          <w:rStyle w:val="FootnoteReference"/>
          <w:rFonts w:cstheme="minorHAnsi"/>
        </w:rPr>
        <w:footnoteReference w:id="32"/>
      </w:r>
    </w:p>
    <w:p w14:paraId="05FDDCB9" w14:textId="77777777" w:rsidR="00715DF1" w:rsidRPr="00715DF1" w:rsidRDefault="00715DF1" w:rsidP="009D3296">
      <w:pPr>
        <w:pStyle w:val="ListParagraph"/>
        <w:ind w:left="360"/>
        <w:rPr>
          <w:rFonts w:cstheme="minorHAnsi"/>
        </w:rPr>
      </w:pPr>
    </w:p>
    <w:p w14:paraId="4AA00886" w14:textId="77777777" w:rsidR="00A07EE8" w:rsidRDefault="00BA3063" w:rsidP="00A07EE8">
      <w:pPr>
        <w:pStyle w:val="ListParagraph"/>
        <w:numPr>
          <w:ilvl w:val="0"/>
          <w:numId w:val="6"/>
        </w:numPr>
        <w:ind w:left="360"/>
        <w:rPr>
          <w:rFonts w:cstheme="minorHAnsi"/>
        </w:rPr>
      </w:pPr>
      <w:r>
        <w:rPr>
          <w:rFonts w:cstheme="minorHAnsi"/>
        </w:rPr>
        <w:t>The Simpson Army Barracks contains high value rare and threatened species and ecological communities</w:t>
      </w:r>
      <w:r w:rsidR="008B6D84">
        <w:rPr>
          <w:rFonts w:cstheme="minorHAnsi"/>
        </w:rPr>
        <w:t>.</w:t>
      </w:r>
      <w:r>
        <w:rPr>
          <w:rFonts w:cstheme="minorHAnsi"/>
        </w:rPr>
        <w:t xml:space="preserve"> </w:t>
      </w:r>
      <w:r w:rsidR="008B6D84">
        <w:rPr>
          <w:rFonts w:cstheme="minorHAnsi"/>
        </w:rPr>
        <w:t>I</w:t>
      </w:r>
      <w:r>
        <w:rPr>
          <w:rFonts w:cstheme="minorHAnsi"/>
        </w:rPr>
        <w:t xml:space="preserve">ts connection to the Yarra River includes the Banyule Creek corridor. </w:t>
      </w:r>
    </w:p>
    <w:p w14:paraId="7873D8EA" w14:textId="77777777" w:rsidR="00A07EE8" w:rsidRPr="00A07EE8" w:rsidRDefault="00A07EE8" w:rsidP="00A07EE8">
      <w:pPr>
        <w:pStyle w:val="ListParagraph"/>
        <w:rPr>
          <w:rFonts w:cstheme="minorHAnsi"/>
          <w:i/>
        </w:rPr>
      </w:pPr>
    </w:p>
    <w:p w14:paraId="23F114F8" w14:textId="1E960059" w:rsidR="002B2A04" w:rsidRPr="00A07EE8" w:rsidRDefault="002B2A04" w:rsidP="00A07EE8">
      <w:pPr>
        <w:pStyle w:val="ListParagraph"/>
        <w:numPr>
          <w:ilvl w:val="0"/>
          <w:numId w:val="6"/>
        </w:numPr>
        <w:ind w:left="360"/>
        <w:rPr>
          <w:rFonts w:cstheme="minorHAnsi"/>
        </w:rPr>
      </w:pPr>
      <w:r w:rsidRPr="00A07EE8">
        <w:rPr>
          <w:rFonts w:cstheme="minorHAnsi"/>
          <w:i/>
        </w:rPr>
        <w:t>Biodiversity</w:t>
      </w:r>
      <w:r w:rsidR="00A07EE8" w:rsidRPr="00A07EE8">
        <w:rPr>
          <w:rFonts w:cstheme="minorHAnsi"/>
          <w:i/>
        </w:rPr>
        <w:t xml:space="preserve"> </w:t>
      </w:r>
      <w:r w:rsidRPr="00A07EE8">
        <w:rPr>
          <w:rFonts w:cstheme="minorHAnsi"/>
          <w:i/>
        </w:rPr>
        <w:t>2037</w:t>
      </w:r>
      <w:r w:rsidRPr="00A07EE8">
        <w:rPr>
          <w:rFonts w:cstheme="minorHAnsi"/>
        </w:rPr>
        <w:t xml:space="preserve"> </w:t>
      </w:r>
      <w:r w:rsidR="007C1AC2" w:rsidRPr="00A07EE8">
        <w:rPr>
          <w:rFonts w:cstheme="minorHAnsi"/>
        </w:rPr>
        <w:t xml:space="preserve">is </w:t>
      </w:r>
      <w:r w:rsidR="00BF12E6" w:rsidRPr="00A07EE8">
        <w:rPr>
          <w:rFonts w:cstheme="minorHAnsi"/>
        </w:rPr>
        <w:t xml:space="preserve">the current biodiversity strategy prepared under the </w:t>
      </w:r>
      <w:r w:rsidR="00BF12E6" w:rsidRPr="00A07EE8">
        <w:rPr>
          <w:rFonts w:cstheme="minorHAnsi"/>
          <w:i/>
        </w:rPr>
        <w:t>Flora and Fauna Guarantee Act 1988</w:t>
      </w:r>
      <w:r w:rsidR="00BF12E6" w:rsidRPr="00A07EE8">
        <w:rPr>
          <w:rFonts w:cstheme="minorHAnsi"/>
        </w:rPr>
        <w:t xml:space="preserve">. It </w:t>
      </w:r>
      <w:r w:rsidR="00B77CBC">
        <w:rPr>
          <w:rFonts w:cstheme="minorHAnsi"/>
        </w:rPr>
        <w:t xml:space="preserve">is a key </w:t>
      </w:r>
      <w:r w:rsidRPr="00A07EE8">
        <w:rPr>
          <w:rFonts w:cstheme="minorHAnsi"/>
        </w:rPr>
        <w:t>reference document for biodiversity protection. A central focus of that policy and of clause 12.01-1S itself is the outcome of trajectories of improvement for biodiversity in Victoria. This is referr</w:t>
      </w:r>
      <w:r w:rsidR="0045242F" w:rsidRPr="00A07EE8">
        <w:rPr>
          <w:rFonts w:cstheme="minorHAnsi"/>
        </w:rPr>
        <w:t xml:space="preserve">ed to </w:t>
      </w:r>
      <w:r w:rsidR="0045242F" w:rsidRPr="00C273E4">
        <w:rPr>
          <w:rFonts w:cstheme="minorHAnsi"/>
        </w:rPr>
        <w:t>in</w:t>
      </w:r>
      <w:r w:rsidR="0045242F" w:rsidRPr="00B77CBC">
        <w:rPr>
          <w:rFonts w:cstheme="minorHAnsi"/>
          <w:i/>
        </w:rPr>
        <w:t xml:space="preserve"> Biodiversity 2037</w:t>
      </w:r>
      <w:r w:rsidR="0045242F" w:rsidRPr="00A07EE8">
        <w:rPr>
          <w:rFonts w:cstheme="minorHAnsi"/>
        </w:rPr>
        <w:t xml:space="preserve"> as</w:t>
      </w:r>
      <w:r w:rsidRPr="00A07EE8">
        <w:rPr>
          <w:rFonts w:cstheme="minorHAnsi"/>
        </w:rPr>
        <w:t xml:space="preserve"> ‘overall habitat improvement’ and ‘net gain’ in native habitat.</w:t>
      </w:r>
      <w:r w:rsidR="004F78EB">
        <w:rPr>
          <w:rStyle w:val="FootnoteReference"/>
          <w:rFonts w:cstheme="minorHAnsi"/>
        </w:rPr>
        <w:footnoteReference w:id="33"/>
      </w:r>
    </w:p>
    <w:p w14:paraId="68E484B0" w14:textId="77777777" w:rsidR="0045242F" w:rsidRPr="0045242F" w:rsidRDefault="0045242F" w:rsidP="0045242F">
      <w:pPr>
        <w:pStyle w:val="ListParagraph"/>
        <w:rPr>
          <w:rFonts w:cstheme="minorHAnsi"/>
        </w:rPr>
      </w:pPr>
    </w:p>
    <w:p w14:paraId="2C70723D" w14:textId="3B7EDF6D" w:rsidR="0045242F" w:rsidRDefault="0045242F" w:rsidP="009D3296">
      <w:pPr>
        <w:pStyle w:val="ListParagraph"/>
        <w:numPr>
          <w:ilvl w:val="0"/>
          <w:numId w:val="6"/>
        </w:numPr>
        <w:ind w:left="360"/>
        <w:rPr>
          <w:rFonts w:cstheme="minorHAnsi"/>
        </w:rPr>
      </w:pPr>
      <w:r>
        <w:rPr>
          <w:rFonts w:cstheme="minorHAnsi"/>
        </w:rPr>
        <w:lastRenderedPageBreak/>
        <w:t xml:space="preserve">A healthy natural environment will also be achieved through stopping the overall decline of threatened species, or in other words arresting trajectories of decline. </w:t>
      </w:r>
    </w:p>
    <w:p w14:paraId="73C34256" w14:textId="77777777" w:rsidR="00F80AD3" w:rsidRPr="009D3296" w:rsidRDefault="00F80AD3" w:rsidP="009D3296">
      <w:pPr>
        <w:pStyle w:val="ListParagraph"/>
        <w:rPr>
          <w:rFonts w:cstheme="minorHAnsi"/>
        </w:rPr>
      </w:pPr>
    </w:p>
    <w:p w14:paraId="23A1DBF4" w14:textId="213CFC9B" w:rsidR="008B6D84" w:rsidRPr="002529C8" w:rsidRDefault="00F80AD3" w:rsidP="002529C8">
      <w:pPr>
        <w:rPr>
          <w:rFonts w:cstheme="minorHAnsi"/>
          <w:i/>
        </w:rPr>
      </w:pPr>
      <w:r w:rsidRPr="009D3296">
        <w:rPr>
          <w:rFonts w:cstheme="minorHAnsi"/>
          <w:i/>
        </w:rPr>
        <w:t>Amendments to the Flora and Fauna Guarantee Act</w:t>
      </w:r>
      <w:r w:rsidR="002529C8">
        <w:rPr>
          <w:rFonts w:cstheme="minorHAnsi"/>
          <w:i/>
        </w:rPr>
        <w:t xml:space="preserve"> 1988</w:t>
      </w:r>
    </w:p>
    <w:p w14:paraId="1AF81E9B" w14:textId="345F5D93" w:rsidR="00064492" w:rsidRPr="00DA7242" w:rsidRDefault="00F80AD3" w:rsidP="009D3296">
      <w:pPr>
        <w:pStyle w:val="ListParagraph"/>
        <w:numPr>
          <w:ilvl w:val="0"/>
          <w:numId w:val="6"/>
        </w:numPr>
        <w:ind w:left="360"/>
        <w:rPr>
          <w:rFonts w:cstheme="minorHAnsi"/>
        </w:rPr>
      </w:pPr>
      <w:r w:rsidRPr="00DA7242">
        <w:rPr>
          <w:rFonts w:cstheme="minorHAnsi"/>
        </w:rPr>
        <w:t xml:space="preserve">Significant amendments to the </w:t>
      </w:r>
      <w:r w:rsidRPr="00DA7242">
        <w:rPr>
          <w:rFonts w:cstheme="minorHAnsi"/>
          <w:i/>
        </w:rPr>
        <w:t>Flora and Fauna Guarantee Act 1988</w:t>
      </w:r>
      <w:r w:rsidRPr="00DA7242">
        <w:rPr>
          <w:rFonts w:cstheme="minorHAnsi"/>
        </w:rPr>
        <w:t xml:space="preserve"> have recently passed the Victorian Parliament.</w:t>
      </w:r>
      <w:r w:rsidR="00193563">
        <w:rPr>
          <w:rStyle w:val="FootnoteReference"/>
          <w:rFonts w:cstheme="minorHAnsi"/>
        </w:rPr>
        <w:footnoteReference w:id="34"/>
      </w:r>
      <w:r w:rsidRPr="00DA7242">
        <w:rPr>
          <w:rFonts w:cstheme="minorHAnsi"/>
        </w:rPr>
        <w:t xml:space="preserve"> These will have a direct bearing</w:t>
      </w:r>
      <w:r w:rsidR="001179DA" w:rsidRPr="00DA7242">
        <w:rPr>
          <w:rFonts w:cstheme="minorHAnsi"/>
        </w:rPr>
        <w:t xml:space="preserve"> on</w:t>
      </w:r>
      <w:r w:rsidRPr="00DA7242">
        <w:rPr>
          <w:rFonts w:cstheme="minorHAnsi"/>
        </w:rPr>
        <w:t xml:space="preserve"> the NELP. Once proclaimed</w:t>
      </w:r>
      <w:r w:rsidR="008269F3" w:rsidRPr="00DA7242">
        <w:rPr>
          <w:rFonts w:cstheme="minorHAnsi"/>
        </w:rPr>
        <w:t>,</w:t>
      </w:r>
      <w:r w:rsidRPr="00DA7242">
        <w:rPr>
          <w:rFonts w:cstheme="minorHAnsi"/>
        </w:rPr>
        <w:t xml:space="preserve"> the amended Act will include enhanced </w:t>
      </w:r>
      <w:r w:rsidR="00D47D9F" w:rsidRPr="00DA7242">
        <w:rPr>
          <w:rFonts w:cstheme="minorHAnsi"/>
        </w:rPr>
        <w:t xml:space="preserve">obligations on Ministers and on public authorities </w:t>
      </w:r>
      <w:r w:rsidR="00064492" w:rsidRPr="00DA7242">
        <w:rPr>
          <w:rFonts w:cstheme="minorHAnsi"/>
        </w:rPr>
        <w:t>including infrastructure authorities</w:t>
      </w:r>
      <w:r w:rsidR="00D47D9F" w:rsidRPr="00DA7242">
        <w:rPr>
          <w:rFonts w:cstheme="minorHAnsi"/>
        </w:rPr>
        <w:t xml:space="preserve">. </w:t>
      </w:r>
    </w:p>
    <w:p w14:paraId="7EBCCD7A" w14:textId="77777777" w:rsidR="00064492" w:rsidRPr="00DA7242" w:rsidRDefault="00064492" w:rsidP="009D3296">
      <w:pPr>
        <w:pStyle w:val="ListParagraph"/>
        <w:ind w:left="360"/>
        <w:rPr>
          <w:rFonts w:cstheme="minorHAnsi"/>
        </w:rPr>
      </w:pPr>
    </w:p>
    <w:p w14:paraId="51AD0A74" w14:textId="69EE6656" w:rsidR="00064492" w:rsidRPr="00DA7242" w:rsidRDefault="00D47D9F" w:rsidP="009D3296">
      <w:pPr>
        <w:pStyle w:val="ListParagraph"/>
        <w:numPr>
          <w:ilvl w:val="0"/>
          <w:numId w:val="6"/>
        </w:numPr>
        <w:ind w:left="360"/>
        <w:rPr>
          <w:rFonts w:cstheme="minorHAnsi"/>
        </w:rPr>
      </w:pPr>
      <w:r w:rsidRPr="00DA7242">
        <w:rPr>
          <w:rFonts w:cstheme="minorHAnsi"/>
        </w:rPr>
        <w:t>These are obligations, in our submission</w:t>
      </w:r>
      <w:r w:rsidR="00064492" w:rsidRPr="00DA7242">
        <w:rPr>
          <w:rFonts w:cstheme="minorHAnsi"/>
        </w:rPr>
        <w:t xml:space="preserve">, directed to government action delivering on trajectories of biodiversity improvement </w:t>
      </w:r>
      <w:r w:rsidR="00003C71" w:rsidRPr="00DA7242">
        <w:rPr>
          <w:rFonts w:cstheme="minorHAnsi"/>
        </w:rPr>
        <w:t>and recovery</w:t>
      </w:r>
      <w:r w:rsidR="00C27B5F" w:rsidRPr="00DA7242">
        <w:rPr>
          <w:rFonts w:cstheme="minorHAnsi"/>
        </w:rPr>
        <w:t>,</w:t>
      </w:r>
      <w:r w:rsidR="00003C71" w:rsidRPr="00DA7242">
        <w:rPr>
          <w:rFonts w:cstheme="minorHAnsi"/>
        </w:rPr>
        <w:t xml:space="preserve"> and arresting and reversing</w:t>
      </w:r>
      <w:r w:rsidR="00064492" w:rsidRPr="00DA7242">
        <w:rPr>
          <w:rFonts w:cstheme="minorHAnsi"/>
        </w:rPr>
        <w:t xml:space="preserve"> trajectories of decline.</w:t>
      </w:r>
      <w:r w:rsidR="00003C71" w:rsidRPr="00DA7242">
        <w:rPr>
          <w:rFonts w:cstheme="minorHAnsi"/>
        </w:rPr>
        <w:t xml:space="preserve"> </w:t>
      </w:r>
    </w:p>
    <w:p w14:paraId="69113BD9" w14:textId="77777777" w:rsidR="00064492" w:rsidRPr="005748A9" w:rsidRDefault="00064492" w:rsidP="009D3296">
      <w:pPr>
        <w:pStyle w:val="ListParagraph"/>
        <w:rPr>
          <w:rFonts w:cstheme="minorHAnsi"/>
        </w:rPr>
      </w:pPr>
    </w:p>
    <w:p w14:paraId="1931AEC6" w14:textId="786F24FB" w:rsidR="00FD697C" w:rsidRPr="005748A9" w:rsidRDefault="00FD697C" w:rsidP="009D3296">
      <w:pPr>
        <w:pStyle w:val="ListParagraph"/>
        <w:numPr>
          <w:ilvl w:val="0"/>
          <w:numId w:val="6"/>
        </w:numPr>
        <w:ind w:left="360"/>
        <w:rPr>
          <w:rFonts w:cstheme="minorHAnsi"/>
        </w:rPr>
      </w:pPr>
      <w:r w:rsidRPr="005748A9">
        <w:rPr>
          <w:rFonts w:cstheme="minorHAnsi"/>
        </w:rPr>
        <w:t xml:space="preserve">As the Minister </w:t>
      </w:r>
      <w:r w:rsidR="002372F5" w:rsidRPr="005748A9">
        <w:rPr>
          <w:rFonts w:cstheme="minorHAnsi"/>
        </w:rPr>
        <w:t>for Energy, Environment and Climate Change</w:t>
      </w:r>
      <w:r w:rsidRPr="005748A9">
        <w:rPr>
          <w:rFonts w:cstheme="minorHAnsi"/>
        </w:rPr>
        <w:t xml:space="preserve"> stated in her Second Reading Speech,</w:t>
      </w:r>
      <w:r w:rsidR="00564A8C" w:rsidRPr="005748A9">
        <w:rPr>
          <w:rStyle w:val="FootnoteReference"/>
          <w:rFonts w:cstheme="minorHAnsi"/>
        </w:rPr>
        <w:footnoteReference w:id="35"/>
      </w:r>
      <w:r w:rsidRPr="005748A9">
        <w:rPr>
          <w:rFonts w:cstheme="minorHAnsi"/>
        </w:rPr>
        <w:t xml:space="preserve"> </w:t>
      </w:r>
      <w:r w:rsidR="00933E56" w:rsidRPr="005748A9">
        <w:rPr>
          <w:rFonts w:cstheme="minorHAnsi"/>
        </w:rPr>
        <w:t xml:space="preserve">the </w:t>
      </w:r>
      <w:r w:rsidR="00064492" w:rsidRPr="005748A9">
        <w:rPr>
          <w:rFonts w:cstheme="minorHAnsi"/>
        </w:rPr>
        <w:t>obj</w:t>
      </w:r>
      <w:r w:rsidRPr="005748A9">
        <w:rPr>
          <w:rFonts w:cstheme="minorHAnsi"/>
        </w:rPr>
        <w:t>ectives of the Act at section 4:</w:t>
      </w:r>
    </w:p>
    <w:p w14:paraId="07F37883" w14:textId="77777777" w:rsidR="00FD697C" w:rsidRPr="005748A9" w:rsidRDefault="00FD697C" w:rsidP="009D3296">
      <w:pPr>
        <w:pStyle w:val="ListParagraph"/>
        <w:rPr>
          <w:rFonts w:cstheme="minorHAnsi"/>
        </w:rPr>
      </w:pPr>
    </w:p>
    <w:p w14:paraId="1A73B20A" w14:textId="3595738B" w:rsidR="00933E56" w:rsidRPr="005748A9" w:rsidRDefault="00B17D5A" w:rsidP="00933E56">
      <w:pPr>
        <w:ind w:firstLine="720"/>
        <w:rPr>
          <w:rFonts w:cstheme="minorHAnsi"/>
          <w:sz w:val="20"/>
          <w:szCs w:val="20"/>
        </w:rPr>
      </w:pPr>
      <w:r>
        <w:t xml:space="preserve">… </w:t>
      </w:r>
      <w:r w:rsidR="00C27B5F" w:rsidRPr="005748A9">
        <w:t>h</w:t>
      </w:r>
      <w:r w:rsidR="00FD697C" w:rsidRPr="005748A9">
        <w:rPr>
          <w:rFonts w:cstheme="minorHAnsi"/>
          <w:sz w:val="20"/>
          <w:szCs w:val="20"/>
        </w:rPr>
        <w:t xml:space="preserve">ave been updated to place greater emphasis </w:t>
      </w:r>
      <w:r>
        <w:rPr>
          <w:rFonts w:cstheme="minorHAnsi"/>
          <w:sz w:val="20"/>
          <w:szCs w:val="20"/>
        </w:rPr>
        <w:t>on prevention and restoration…</w:t>
      </w:r>
    </w:p>
    <w:p w14:paraId="105D40D2" w14:textId="77777777" w:rsidR="00FD697C" w:rsidRPr="005748A9" w:rsidRDefault="00FD697C" w:rsidP="00933E56">
      <w:pPr>
        <w:ind w:firstLine="720"/>
        <w:rPr>
          <w:rFonts w:cstheme="minorHAnsi"/>
          <w:sz w:val="20"/>
          <w:szCs w:val="20"/>
        </w:rPr>
      </w:pPr>
      <w:r w:rsidRPr="005748A9">
        <w:rPr>
          <w:rFonts w:cstheme="minorHAnsi"/>
          <w:sz w:val="20"/>
          <w:szCs w:val="20"/>
        </w:rPr>
        <w:t>New objectives include:</w:t>
      </w:r>
    </w:p>
    <w:p w14:paraId="5338E603" w14:textId="5BACD466" w:rsidR="00FD697C" w:rsidRPr="005748A9" w:rsidRDefault="00FD697C" w:rsidP="00933E56">
      <w:pPr>
        <w:ind w:left="720"/>
        <w:rPr>
          <w:rFonts w:cstheme="minorHAnsi"/>
          <w:sz w:val="20"/>
          <w:szCs w:val="20"/>
        </w:rPr>
      </w:pPr>
      <w:r w:rsidRPr="005748A9">
        <w:rPr>
          <w:rFonts w:cstheme="minorHAnsi"/>
          <w:sz w:val="20"/>
          <w:szCs w:val="20"/>
        </w:rPr>
        <w:t xml:space="preserve">To prevent indigenous taxa and communities of flora and fauna from becoming threatened and to recover threatened taxa and communities so their conservation status improves. </w:t>
      </w:r>
    </w:p>
    <w:p w14:paraId="5279E10E" w14:textId="76D5520F" w:rsidR="00FD697C" w:rsidRDefault="00FD697C" w:rsidP="009D3296">
      <w:pPr>
        <w:pStyle w:val="ListParagraph"/>
        <w:rPr>
          <w:rFonts w:cstheme="minorHAnsi"/>
          <w:sz w:val="20"/>
          <w:szCs w:val="20"/>
          <w:highlight w:val="yellow"/>
        </w:rPr>
      </w:pPr>
    </w:p>
    <w:p w14:paraId="65EDA979" w14:textId="5E2A0CB3" w:rsidR="00FD697C" w:rsidRPr="00EA4051" w:rsidRDefault="00003C71" w:rsidP="009D3296">
      <w:pPr>
        <w:pStyle w:val="ListParagraph"/>
        <w:numPr>
          <w:ilvl w:val="0"/>
          <w:numId w:val="6"/>
        </w:numPr>
        <w:ind w:left="360"/>
        <w:rPr>
          <w:rFonts w:cstheme="minorHAnsi"/>
        </w:rPr>
      </w:pPr>
      <w:r w:rsidRPr="00EA4051">
        <w:rPr>
          <w:rFonts w:cstheme="minorHAnsi"/>
        </w:rPr>
        <w:t xml:space="preserve">An important way in which </w:t>
      </w:r>
      <w:r w:rsidR="00C27B5F" w:rsidRPr="00EA4051">
        <w:rPr>
          <w:rFonts w:cstheme="minorHAnsi"/>
        </w:rPr>
        <w:t>the Amended Act is ‘updated’</w:t>
      </w:r>
      <w:r w:rsidR="001F47BB" w:rsidRPr="00EA4051">
        <w:rPr>
          <w:rFonts w:cstheme="minorHAnsi"/>
        </w:rPr>
        <w:t xml:space="preserve"> is</w:t>
      </w:r>
      <w:r w:rsidR="00C27B5F" w:rsidRPr="00EA4051">
        <w:rPr>
          <w:rFonts w:cstheme="minorHAnsi"/>
        </w:rPr>
        <w:t xml:space="preserve"> by way of an enhanced duty on Ministers and public authorities to give ‘proper consideration’ to </w:t>
      </w:r>
      <w:r w:rsidR="00B52CDD" w:rsidRPr="00EA4051">
        <w:rPr>
          <w:rFonts w:cstheme="minorHAnsi"/>
        </w:rPr>
        <w:t xml:space="preserve">the legislated objectives and any instrument made under the Act. </w:t>
      </w:r>
    </w:p>
    <w:p w14:paraId="4BAEADB0" w14:textId="77777777" w:rsidR="00B52CDD" w:rsidRPr="00EA4051" w:rsidRDefault="00B52CDD" w:rsidP="009D3296">
      <w:pPr>
        <w:pStyle w:val="ListParagraph"/>
        <w:ind w:left="360"/>
        <w:rPr>
          <w:rFonts w:cstheme="minorHAnsi"/>
        </w:rPr>
      </w:pPr>
    </w:p>
    <w:p w14:paraId="266180DF" w14:textId="2EF02DE9" w:rsidR="00B52CDD" w:rsidRPr="00EA4051" w:rsidRDefault="00B52CDD" w:rsidP="009D3296">
      <w:pPr>
        <w:pStyle w:val="ListParagraph"/>
        <w:numPr>
          <w:ilvl w:val="0"/>
          <w:numId w:val="6"/>
        </w:numPr>
        <w:ind w:left="360"/>
        <w:rPr>
          <w:rFonts w:cstheme="minorHAnsi"/>
        </w:rPr>
      </w:pPr>
      <w:r w:rsidRPr="00EA4051">
        <w:rPr>
          <w:rFonts w:cstheme="minorHAnsi"/>
        </w:rPr>
        <w:t xml:space="preserve">Instruments made under the Act include the biodiversity strategy, which currently is </w:t>
      </w:r>
      <w:r w:rsidRPr="00EA4051">
        <w:rPr>
          <w:rFonts w:cstheme="minorHAnsi"/>
          <w:i/>
        </w:rPr>
        <w:t xml:space="preserve">Biodiversity 2037. </w:t>
      </w:r>
      <w:r w:rsidRPr="00EA4051">
        <w:rPr>
          <w:rFonts w:cstheme="minorHAnsi"/>
        </w:rPr>
        <w:t xml:space="preserve">As we have set out, </w:t>
      </w:r>
      <w:r w:rsidRPr="00EA4051">
        <w:rPr>
          <w:rFonts w:cstheme="minorHAnsi"/>
          <w:i/>
        </w:rPr>
        <w:t>Biodiversity 2037</w:t>
      </w:r>
      <w:r w:rsidRPr="00EA4051">
        <w:rPr>
          <w:rFonts w:cstheme="minorHAnsi"/>
        </w:rPr>
        <w:t xml:space="preserve"> </w:t>
      </w:r>
      <w:r w:rsidR="001179DA" w:rsidRPr="00EA4051">
        <w:rPr>
          <w:rFonts w:cstheme="minorHAnsi"/>
        </w:rPr>
        <w:t xml:space="preserve">intends that ‘overall improvement’ in biodiversity is achieved. </w:t>
      </w:r>
    </w:p>
    <w:p w14:paraId="794802F5" w14:textId="77777777" w:rsidR="00B52CDD" w:rsidRPr="00EA4051" w:rsidRDefault="00B52CDD" w:rsidP="009D3296">
      <w:pPr>
        <w:pStyle w:val="ListParagraph"/>
        <w:rPr>
          <w:rFonts w:cstheme="minorHAnsi"/>
        </w:rPr>
      </w:pPr>
    </w:p>
    <w:p w14:paraId="443A7601" w14:textId="7887B873" w:rsidR="00B52CDD" w:rsidRPr="00EA4051" w:rsidRDefault="00B52CDD" w:rsidP="009D3296">
      <w:pPr>
        <w:pStyle w:val="ListParagraph"/>
        <w:numPr>
          <w:ilvl w:val="0"/>
          <w:numId w:val="6"/>
        </w:numPr>
        <w:ind w:left="360"/>
        <w:rPr>
          <w:rFonts w:cstheme="minorHAnsi"/>
        </w:rPr>
      </w:pPr>
      <w:r w:rsidRPr="00EA4051">
        <w:rPr>
          <w:rFonts w:cstheme="minorHAnsi"/>
        </w:rPr>
        <w:t>The modified duty is intended to ‘strengthen’ government leadership and accountability in relation to biodiversity conservation.</w:t>
      </w:r>
      <w:r w:rsidRPr="00EA4051">
        <w:rPr>
          <w:rStyle w:val="FootnoteReference"/>
          <w:rFonts w:cstheme="minorHAnsi"/>
        </w:rPr>
        <w:footnoteReference w:id="36"/>
      </w:r>
    </w:p>
    <w:p w14:paraId="1140C7C7" w14:textId="77777777" w:rsidR="00B52CDD" w:rsidRPr="00EA4051" w:rsidRDefault="00B52CDD" w:rsidP="009D3296">
      <w:pPr>
        <w:pStyle w:val="ListParagraph"/>
        <w:rPr>
          <w:rFonts w:cstheme="minorHAnsi"/>
        </w:rPr>
      </w:pPr>
    </w:p>
    <w:p w14:paraId="2ABF2044" w14:textId="012BFFE2" w:rsidR="00B52CDD" w:rsidRPr="00EA4051" w:rsidRDefault="001F47BB" w:rsidP="009D3296">
      <w:pPr>
        <w:pStyle w:val="ListParagraph"/>
        <w:numPr>
          <w:ilvl w:val="0"/>
          <w:numId w:val="6"/>
        </w:numPr>
        <w:ind w:left="360"/>
        <w:rPr>
          <w:rFonts w:cstheme="minorHAnsi"/>
        </w:rPr>
      </w:pPr>
      <w:r w:rsidRPr="00EA4051">
        <w:rPr>
          <w:rFonts w:cstheme="minorHAnsi"/>
        </w:rPr>
        <w:t xml:space="preserve">The ‘proper consideration’ standard is analogous to the manner in which public authorities are to take </w:t>
      </w:r>
      <w:r w:rsidR="00881292" w:rsidRPr="00EA4051">
        <w:rPr>
          <w:rFonts w:cstheme="minorHAnsi"/>
        </w:rPr>
        <w:t>the Charter of Human Rights and Responsibilities</w:t>
      </w:r>
      <w:r w:rsidRPr="00EA4051">
        <w:rPr>
          <w:rFonts w:cstheme="minorHAnsi"/>
        </w:rPr>
        <w:t xml:space="preserve"> into account in decision-making.</w:t>
      </w:r>
      <w:r w:rsidR="004C7727" w:rsidRPr="00EA4051">
        <w:rPr>
          <w:rStyle w:val="FootnoteReference"/>
          <w:rFonts w:cstheme="minorHAnsi"/>
        </w:rPr>
        <w:footnoteReference w:id="37"/>
      </w:r>
      <w:r w:rsidRPr="00EA4051">
        <w:rPr>
          <w:rFonts w:cstheme="minorHAnsi"/>
        </w:rPr>
        <w:t xml:space="preserve"> </w:t>
      </w:r>
    </w:p>
    <w:p w14:paraId="184100F7" w14:textId="77777777" w:rsidR="001F47BB" w:rsidRPr="00EA4051" w:rsidRDefault="001F47BB" w:rsidP="009D3296">
      <w:pPr>
        <w:pStyle w:val="ListParagraph"/>
        <w:rPr>
          <w:rFonts w:cstheme="minorHAnsi"/>
        </w:rPr>
      </w:pPr>
    </w:p>
    <w:p w14:paraId="170C571C" w14:textId="499FBC75" w:rsidR="001F47BB" w:rsidRPr="00EA4051" w:rsidRDefault="001F47BB" w:rsidP="009D3296">
      <w:pPr>
        <w:pStyle w:val="ListParagraph"/>
        <w:numPr>
          <w:ilvl w:val="0"/>
          <w:numId w:val="6"/>
        </w:numPr>
        <w:ind w:left="360"/>
        <w:rPr>
          <w:rFonts w:cstheme="minorHAnsi"/>
        </w:rPr>
      </w:pPr>
      <w:r w:rsidRPr="00EA4051">
        <w:rPr>
          <w:rFonts w:cstheme="minorHAnsi"/>
        </w:rPr>
        <w:t>The case law in that context establishes that</w:t>
      </w:r>
      <w:r w:rsidR="00B17D5A">
        <w:rPr>
          <w:rFonts w:cstheme="minorHAnsi"/>
        </w:rPr>
        <w:t>:</w:t>
      </w:r>
      <w:r w:rsidRPr="00EA4051">
        <w:rPr>
          <w:rFonts w:cstheme="minorHAnsi"/>
        </w:rPr>
        <w:t xml:space="preserve"> </w:t>
      </w:r>
    </w:p>
    <w:p w14:paraId="203D6655" w14:textId="77777777" w:rsidR="001F47BB" w:rsidRPr="00EA4051" w:rsidRDefault="001F47BB" w:rsidP="009D3296">
      <w:pPr>
        <w:pStyle w:val="ListParagraph"/>
        <w:rPr>
          <w:rFonts w:cstheme="minorHAnsi"/>
        </w:rPr>
      </w:pPr>
    </w:p>
    <w:p w14:paraId="207E1A4A" w14:textId="10590AA5" w:rsidR="001F47BB" w:rsidRPr="00EA4051" w:rsidRDefault="001F47BB" w:rsidP="009D3296">
      <w:pPr>
        <w:pStyle w:val="ListParagraph"/>
        <w:numPr>
          <w:ilvl w:val="0"/>
          <w:numId w:val="60"/>
        </w:numPr>
        <w:rPr>
          <w:rFonts w:cstheme="minorHAnsi"/>
        </w:rPr>
      </w:pPr>
      <w:r w:rsidRPr="00EA4051">
        <w:rPr>
          <w:rFonts w:cstheme="minorHAnsi"/>
        </w:rPr>
        <w:lastRenderedPageBreak/>
        <w:t>‘proper consideration’ sets a higher standard of consideration than the common law test to take into account relevant consideration</w:t>
      </w:r>
      <w:r w:rsidR="009A0BD9" w:rsidRPr="00EA4051">
        <w:rPr>
          <w:rFonts w:cstheme="minorHAnsi"/>
        </w:rPr>
        <w:t>s</w:t>
      </w:r>
      <w:r w:rsidRPr="00EA4051">
        <w:rPr>
          <w:rFonts w:cstheme="minorHAnsi"/>
        </w:rPr>
        <w:t xml:space="preserve">; and </w:t>
      </w:r>
    </w:p>
    <w:p w14:paraId="6E1DA10D" w14:textId="77777777" w:rsidR="004C7727" w:rsidRPr="00EA4051" w:rsidRDefault="004C7727" w:rsidP="009D3296">
      <w:pPr>
        <w:pStyle w:val="ListParagraph"/>
        <w:rPr>
          <w:rFonts w:cstheme="minorHAnsi"/>
        </w:rPr>
      </w:pPr>
    </w:p>
    <w:p w14:paraId="7EF8D435" w14:textId="7DA20F47" w:rsidR="001F47BB" w:rsidRPr="00EA4051" w:rsidRDefault="00B17D5A" w:rsidP="009D3296">
      <w:pPr>
        <w:pStyle w:val="ListParagraph"/>
        <w:numPr>
          <w:ilvl w:val="0"/>
          <w:numId w:val="60"/>
        </w:numPr>
        <w:rPr>
          <w:rFonts w:cstheme="minorHAnsi"/>
        </w:rPr>
      </w:pPr>
      <w:r>
        <w:rPr>
          <w:rFonts w:cstheme="minorHAnsi"/>
        </w:rPr>
        <w:t>i</w:t>
      </w:r>
      <w:r w:rsidR="001F47BB" w:rsidRPr="00EA4051">
        <w:rPr>
          <w:rFonts w:cstheme="minorHAnsi"/>
        </w:rPr>
        <w:t xml:space="preserve">t is an ‘obligation of some stringency… intended to have a normative effect on the conduct of public </w:t>
      </w:r>
      <w:r w:rsidR="00EA4051" w:rsidRPr="00EA4051">
        <w:rPr>
          <w:rFonts w:cstheme="minorHAnsi"/>
        </w:rPr>
        <w:t>authorities</w:t>
      </w:r>
      <w:r w:rsidR="001F47BB" w:rsidRPr="00EA4051">
        <w:rPr>
          <w:rFonts w:cstheme="minorHAnsi"/>
        </w:rPr>
        <w:t>’</w:t>
      </w:r>
      <w:r w:rsidR="00EA4051" w:rsidRPr="00EA4051">
        <w:rPr>
          <w:rFonts w:cstheme="minorHAnsi"/>
        </w:rPr>
        <w:t>.</w:t>
      </w:r>
      <w:r w:rsidR="001F47BB" w:rsidRPr="00EA4051">
        <w:rPr>
          <w:rStyle w:val="FootnoteReference"/>
          <w:rFonts w:cstheme="minorHAnsi"/>
        </w:rPr>
        <w:footnoteReference w:id="38"/>
      </w:r>
    </w:p>
    <w:p w14:paraId="2A9C84BA" w14:textId="77777777" w:rsidR="001179DA" w:rsidRPr="00EA4051" w:rsidRDefault="001179DA" w:rsidP="009D3296">
      <w:pPr>
        <w:pStyle w:val="ListParagraph"/>
        <w:rPr>
          <w:rFonts w:cstheme="minorHAnsi"/>
        </w:rPr>
      </w:pPr>
    </w:p>
    <w:p w14:paraId="64225CEA" w14:textId="6BECA149" w:rsidR="00FD697C" w:rsidRPr="00EA4051" w:rsidRDefault="001F47BB" w:rsidP="00A75ECC">
      <w:pPr>
        <w:pStyle w:val="ListParagraph"/>
        <w:numPr>
          <w:ilvl w:val="0"/>
          <w:numId w:val="6"/>
        </w:numPr>
        <w:ind w:left="284"/>
        <w:rPr>
          <w:rFonts w:cstheme="minorHAnsi"/>
          <w:sz w:val="20"/>
          <w:szCs w:val="20"/>
        </w:rPr>
      </w:pPr>
      <w:r w:rsidRPr="00EA4051">
        <w:rPr>
          <w:rFonts w:cstheme="minorHAnsi"/>
        </w:rPr>
        <w:t xml:space="preserve">Applying this authority to biodiversity conservation in relation to the </w:t>
      </w:r>
      <w:r w:rsidR="00EA4051" w:rsidRPr="00EA4051">
        <w:rPr>
          <w:rFonts w:cstheme="minorHAnsi"/>
        </w:rPr>
        <w:t xml:space="preserve">NELP </w:t>
      </w:r>
      <w:r w:rsidRPr="00EA4051">
        <w:rPr>
          <w:rFonts w:cstheme="minorHAnsi"/>
        </w:rPr>
        <w:t xml:space="preserve">Reference Design means, in our submission, a departure from ‘business as usual’ is required, where business as usual </w:t>
      </w:r>
      <w:r w:rsidR="007766C0" w:rsidRPr="00EA4051">
        <w:rPr>
          <w:rFonts w:cstheme="minorHAnsi"/>
        </w:rPr>
        <w:t xml:space="preserve">assumes, and perhaps laments, progressive environmental decline, </w:t>
      </w:r>
      <w:r w:rsidR="004C7727" w:rsidRPr="00EA4051">
        <w:rPr>
          <w:rFonts w:cstheme="minorHAnsi"/>
        </w:rPr>
        <w:t>with certain more egregious harms ameliorated or removed.</w:t>
      </w:r>
    </w:p>
    <w:p w14:paraId="4E2602B3" w14:textId="77777777" w:rsidR="00D52A9C" w:rsidRPr="00EA4051" w:rsidRDefault="00D52A9C" w:rsidP="00D52A9C">
      <w:pPr>
        <w:pStyle w:val="ListParagraph"/>
        <w:rPr>
          <w:rFonts w:cstheme="minorHAnsi"/>
          <w:sz w:val="20"/>
          <w:szCs w:val="20"/>
        </w:rPr>
      </w:pPr>
    </w:p>
    <w:p w14:paraId="55FAD6DC" w14:textId="1718CDC9" w:rsidR="00D52A9C" w:rsidRPr="00EA4051" w:rsidRDefault="00D52A9C" w:rsidP="00A75ECC">
      <w:pPr>
        <w:pStyle w:val="ListParagraph"/>
        <w:numPr>
          <w:ilvl w:val="0"/>
          <w:numId w:val="6"/>
        </w:numPr>
        <w:ind w:left="284"/>
        <w:rPr>
          <w:rFonts w:cstheme="minorHAnsi"/>
        </w:rPr>
      </w:pPr>
      <w:r w:rsidRPr="00EA4051">
        <w:rPr>
          <w:rFonts w:cstheme="minorHAnsi"/>
        </w:rPr>
        <w:t xml:space="preserve">Normative changes are required and those changes are a shift in thinking and practice toward trajectories of ecological repair and restoration, involving all of government. </w:t>
      </w:r>
    </w:p>
    <w:p w14:paraId="034EEA16" w14:textId="62E07778" w:rsidR="00B3291D" w:rsidRPr="00B3291D" w:rsidRDefault="00B3291D" w:rsidP="00B3291D">
      <w:pPr>
        <w:rPr>
          <w:rFonts w:cstheme="minorHAnsi"/>
          <w:highlight w:val="yellow"/>
        </w:rPr>
      </w:pPr>
    </w:p>
    <w:p w14:paraId="7D97DA6F" w14:textId="13FEDE09" w:rsidR="00BA3063" w:rsidRPr="002529C8" w:rsidRDefault="001F0CA0" w:rsidP="002529C8">
      <w:pPr>
        <w:rPr>
          <w:rFonts w:cstheme="minorHAnsi"/>
          <w:i/>
        </w:rPr>
      </w:pPr>
      <w:r w:rsidRPr="002B2A04">
        <w:rPr>
          <w:rFonts w:cstheme="minorHAnsi"/>
          <w:i/>
        </w:rPr>
        <w:t>Integrated water management in planning policy</w:t>
      </w:r>
    </w:p>
    <w:p w14:paraId="1913A60A" w14:textId="4897E54D" w:rsidR="000445E9" w:rsidRPr="009D3296" w:rsidRDefault="008B6D84" w:rsidP="009D3296">
      <w:pPr>
        <w:pStyle w:val="ListParagraph"/>
        <w:numPr>
          <w:ilvl w:val="0"/>
          <w:numId w:val="6"/>
        </w:numPr>
        <w:ind w:left="360"/>
        <w:rPr>
          <w:rFonts w:cstheme="minorHAnsi"/>
        </w:rPr>
      </w:pPr>
      <w:r w:rsidRPr="008B6D84">
        <w:rPr>
          <w:rFonts w:cstheme="minorHAnsi"/>
        </w:rPr>
        <w:t>P</w:t>
      </w:r>
      <w:r w:rsidR="00D6210D" w:rsidRPr="008B6D84">
        <w:rPr>
          <w:rFonts w:cstheme="minorHAnsi"/>
        </w:rPr>
        <w:t xml:space="preserve">lanning policy expressly provides for </w:t>
      </w:r>
      <w:r w:rsidR="009F6A23" w:rsidRPr="008B6D84">
        <w:rPr>
          <w:rFonts w:cstheme="minorHAnsi"/>
        </w:rPr>
        <w:t>integrated water management under clause 19.03-3S.</w:t>
      </w:r>
      <w:r w:rsidR="00870BC2">
        <w:rPr>
          <w:rStyle w:val="FootnoteReference"/>
          <w:rFonts w:cstheme="minorHAnsi"/>
        </w:rPr>
        <w:footnoteReference w:id="39"/>
      </w:r>
      <w:r w:rsidR="009F6A23" w:rsidRPr="008B6D84">
        <w:rPr>
          <w:rFonts w:cstheme="minorHAnsi"/>
        </w:rPr>
        <w:t xml:space="preserve"> </w:t>
      </w:r>
    </w:p>
    <w:p w14:paraId="01F8BAA9" w14:textId="77777777" w:rsidR="00114CCF" w:rsidRPr="008B6D84" w:rsidRDefault="00114CCF" w:rsidP="009D3296">
      <w:pPr>
        <w:pStyle w:val="ListParagraph"/>
        <w:ind w:left="360"/>
        <w:rPr>
          <w:rFonts w:cstheme="minorHAnsi"/>
        </w:rPr>
      </w:pPr>
    </w:p>
    <w:p w14:paraId="23777F2D" w14:textId="2AF66E48" w:rsidR="00114CCF" w:rsidRDefault="00BA6C24" w:rsidP="009D3296">
      <w:pPr>
        <w:pStyle w:val="ListParagraph"/>
        <w:numPr>
          <w:ilvl w:val="0"/>
          <w:numId w:val="6"/>
        </w:numPr>
        <w:ind w:left="360"/>
        <w:rPr>
          <w:rFonts w:cstheme="minorHAnsi"/>
        </w:rPr>
      </w:pPr>
      <w:r w:rsidRPr="008B6D84">
        <w:rPr>
          <w:rFonts w:cstheme="minorHAnsi"/>
        </w:rPr>
        <w:t>Integrated water management is intended to achieve more effective management of the water cycle</w:t>
      </w:r>
      <w:r>
        <w:rPr>
          <w:rFonts w:cstheme="minorHAnsi"/>
        </w:rPr>
        <w:t>, especially in urban areas</w:t>
      </w:r>
      <w:r w:rsidR="008B6D84">
        <w:rPr>
          <w:rFonts w:cstheme="minorHAnsi"/>
        </w:rPr>
        <w:t>. The purpose is</w:t>
      </w:r>
      <w:r>
        <w:rPr>
          <w:rFonts w:cstheme="minorHAnsi"/>
        </w:rPr>
        <w:t xml:space="preserve"> </w:t>
      </w:r>
      <w:r w:rsidR="002E3A4D">
        <w:rPr>
          <w:rFonts w:cstheme="minorHAnsi"/>
        </w:rPr>
        <w:t xml:space="preserve">to meet multiple objectives, including augmenting water supplies, protecting and improving waterway health, reducing drainage impacts and costs, and adding to amenity and </w:t>
      </w:r>
      <w:r w:rsidR="004A21DC">
        <w:rPr>
          <w:rFonts w:cstheme="minorHAnsi"/>
        </w:rPr>
        <w:t>resilience in urban landscapes.</w:t>
      </w:r>
      <w:r w:rsidR="004A21DC">
        <w:rPr>
          <w:rStyle w:val="FootnoteReference"/>
          <w:rFonts w:cstheme="minorHAnsi"/>
        </w:rPr>
        <w:footnoteReference w:id="40"/>
      </w:r>
    </w:p>
    <w:p w14:paraId="1D7E2B69" w14:textId="77777777" w:rsidR="00BB7DFD" w:rsidRPr="00BB7DFD" w:rsidRDefault="00BB7DFD" w:rsidP="009D3296">
      <w:pPr>
        <w:pStyle w:val="ListParagraph"/>
        <w:ind w:left="360"/>
        <w:rPr>
          <w:rFonts w:cstheme="minorHAnsi"/>
        </w:rPr>
      </w:pPr>
    </w:p>
    <w:p w14:paraId="6BC93FCF" w14:textId="560E2A83" w:rsidR="00BB7DFD" w:rsidRDefault="00854FB9" w:rsidP="009D3296">
      <w:pPr>
        <w:pStyle w:val="ListParagraph"/>
        <w:numPr>
          <w:ilvl w:val="0"/>
          <w:numId w:val="6"/>
        </w:numPr>
        <w:ind w:left="360"/>
        <w:rPr>
          <w:rFonts w:cstheme="minorHAnsi"/>
        </w:rPr>
      </w:pPr>
      <w:r>
        <w:rPr>
          <w:rFonts w:cstheme="minorHAnsi"/>
        </w:rPr>
        <w:t xml:space="preserve">There remains considerable uncertainty in the NELP, as confirmed in the evidence of expert witnesses, that any satisfactory form of integrated water management arrangement can be achieved for the NELP, including at the detailed design stage. </w:t>
      </w:r>
    </w:p>
    <w:p w14:paraId="7430C7A7" w14:textId="77777777" w:rsidR="00854FB9" w:rsidRPr="00854FB9" w:rsidRDefault="00854FB9" w:rsidP="009D3296">
      <w:pPr>
        <w:pStyle w:val="ListParagraph"/>
        <w:ind w:left="360"/>
        <w:rPr>
          <w:rFonts w:cstheme="minorHAnsi"/>
        </w:rPr>
      </w:pPr>
    </w:p>
    <w:p w14:paraId="3A10C5E6" w14:textId="4AF183AB" w:rsidR="00854FB9" w:rsidRDefault="00854FB9" w:rsidP="009D3296">
      <w:pPr>
        <w:pStyle w:val="ListParagraph"/>
        <w:numPr>
          <w:ilvl w:val="0"/>
          <w:numId w:val="6"/>
        </w:numPr>
        <w:ind w:left="360"/>
        <w:rPr>
          <w:rFonts w:cstheme="minorHAnsi"/>
        </w:rPr>
      </w:pPr>
      <w:r>
        <w:rPr>
          <w:rFonts w:cstheme="minorHAnsi"/>
        </w:rPr>
        <w:t>In general, we submit shortcomings include</w:t>
      </w:r>
      <w:r w:rsidR="008B6D84">
        <w:rPr>
          <w:rFonts w:cstheme="minorHAnsi"/>
        </w:rPr>
        <w:t>:</w:t>
      </w:r>
      <w:r>
        <w:rPr>
          <w:rFonts w:cstheme="minorHAnsi"/>
        </w:rPr>
        <w:t xml:space="preserve"> </w:t>
      </w:r>
    </w:p>
    <w:p w14:paraId="2485DF88" w14:textId="77777777" w:rsidR="00D506AA" w:rsidRPr="00D506AA" w:rsidRDefault="00D506AA" w:rsidP="00D506AA">
      <w:pPr>
        <w:pStyle w:val="ListParagraph"/>
        <w:rPr>
          <w:rFonts w:cstheme="minorHAnsi"/>
        </w:rPr>
      </w:pPr>
    </w:p>
    <w:p w14:paraId="09FDCA48" w14:textId="2E5503D9" w:rsidR="00D506AA" w:rsidRDefault="008B6D84" w:rsidP="009D3296">
      <w:pPr>
        <w:pStyle w:val="ListParagraph"/>
        <w:numPr>
          <w:ilvl w:val="0"/>
          <w:numId w:val="58"/>
        </w:numPr>
        <w:ind w:left="810"/>
        <w:rPr>
          <w:rFonts w:cstheme="minorHAnsi"/>
        </w:rPr>
      </w:pPr>
      <w:r>
        <w:rPr>
          <w:rFonts w:cstheme="minorHAnsi"/>
        </w:rPr>
        <w:t>t</w:t>
      </w:r>
      <w:r w:rsidR="00D506AA">
        <w:rPr>
          <w:rFonts w:cstheme="minorHAnsi"/>
        </w:rPr>
        <w:t xml:space="preserve">he absence of </w:t>
      </w:r>
      <w:r w:rsidR="00721077">
        <w:rPr>
          <w:rFonts w:cstheme="minorHAnsi"/>
        </w:rPr>
        <w:t xml:space="preserve">broad </w:t>
      </w:r>
      <w:r w:rsidR="00D506AA">
        <w:rPr>
          <w:rFonts w:cstheme="minorHAnsi"/>
        </w:rPr>
        <w:t xml:space="preserve">spatial and volumetric </w:t>
      </w:r>
      <w:r w:rsidR="00EF5EA8">
        <w:rPr>
          <w:rFonts w:cstheme="minorHAnsi"/>
        </w:rPr>
        <w:t>assessments</w:t>
      </w:r>
      <w:r w:rsidR="00D506AA">
        <w:rPr>
          <w:rFonts w:cstheme="minorHAnsi"/>
        </w:rPr>
        <w:t xml:space="preserve"> as to whether or how runoff from the increased area of impervious surfaces can be accommodated within the project area or even within the wider municipal areas</w:t>
      </w:r>
      <w:r w:rsidR="00D4622D">
        <w:rPr>
          <w:rFonts w:cstheme="minorHAnsi"/>
        </w:rPr>
        <w:t>;</w:t>
      </w:r>
    </w:p>
    <w:p w14:paraId="19BC6536" w14:textId="77777777" w:rsidR="00ED288D" w:rsidRDefault="00ED288D" w:rsidP="009D3296">
      <w:pPr>
        <w:pStyle w:val="ListParagraph"/>
        <w:ind w:left="810"/>
        <w:rPr>
          <w:rFonts w:cstheme="minorHAnsi"/>
        </w:rPr>
      </w:pPr>
    </w:p>
    <w:p w14:paraId="3ED4992E" w14:textId="4F66E7F5" w:rsidR="00D506AA" w:rsidRDefault="008B6D84" w:rsidP="009D3296">
      <w:pPr>
        <w:pStyle w:val="ListParagraph"/>
        <w:numPr>
          <w:ilvl w:val="0"/>
          <w:numId w:val="58"/>
        </w:numPr>
        <w:ind w:left="810"/>
        <w:rPr>
          <w:rFonts w:cstheme="minorHAnsi"/>
        </w:rPr>
      </w:pPr>
      <w:r>
        <w:rPr>
          <w:rFonts w:cstheme="minorHAnsi"/>
        </w:rPr>
        <w:t>t</w:t>
      </w:r>
      <w:r w:rsidR="00D506AA">
        <w:rPr>
          <w:rFonts w:cstheme="minorHAnsi"/>
        </w:rPr>
        <w:t>he failure to provide for an integrated water precinct, which would provide a scheme and designated responsibilities for management of drainage and stormwater across the project area as well as on a local catchment basis</w:t>
      </w:r>
      <w:r w:rsidR="00D4622D">
        <w:rPr>
          <w:rFonts w:cstheme="minorHAnsi"/>
        </w:rPr>
        <w:t>;</w:t>
      </w:r>
    </w:p>
    <w:p w14:paraId="7B3373CB" w14:textId="77777777" w:rsidR="00ED288D" w:rsidRPr="00ED288D" w:rsidRDefault="00ED288D" w:rsidP="009D3296">
      <w:pPr>
        <w:pStyle w:val="ListParagraph"/>
        <w:ind w:left="810"/>
        <w:rPr>
          <w:rFonts w:cstheme="minorHAnsi"/>
        </w:rPr>
      </w:pPr>
    </w:p>
    <w:p w14:paraId="548061BD" w14:textId="0488353E" w:rsidR="00D506AA" w:rsidRDefault="008B6D84" w:rsidP="009D3296">
      <w:pPr>
        <w:pStyle w:val="ListParagraph"/>
        <w:numPr>
          <w:ilvl w:val="0"/>
          <w:numId w:val="58"/>
        </w:numPr>
        <w:ind w:left="810"/>
        <w:rPr>
          <w:rFonts w:cstheme="minorHAnsi"/>
        </w:rPr>
      </w:pPr>
      <w:r>
        <w:rPr>
          <w:rFonts w:cstheme="minorHAnsi"/>
        </w:rPr>
        <w:t>t</w:t>
      </w:r>
      <w:r w:rsidR="00764CB4">
        <w:rPr>
          <w:rFonts w:cstheme="minorHAnsi"/>
        </w:rPr>
        <w:t>he failure to establish</w:t>
      </w:r>
      <w:r w:rsidR="00130CB0">
        <w:rPr>
          <w:rFonts w:cstheme="minorHAnsi"/>
        </w:rPr>
        <w:t xml:space="preserve"> reliable</w:t>
      </w:r>
      <w:r w:rsidR="00764CB4">
        <w:rPr>
          <w:rFonts w:cstheme="minorHAnsi"/>
        </w:rPr>
        <w:t xml:space="preserve"> water quality baseline information </w:t>
      </w:r>
      <w:r w:rsidR="00130CB0">
        <w:rPr>
          <w:rFonts w:cstheme="minorHAnsi"/>
        </w:rPr>
        <w:t>to inform integrated water management</w:t>
      </w:r>
      <w:r w:rsidR="00D4622D">
        <w:rPr>
          <w:rFonts w:cstheme="minorHAnsi"/>
        </w:rPr>
        <w:t>;</w:t>
      </w:r>
    </w:p>
    <w:p w14:paraId="2F011156" w14:textId="77777777" w:rsidR="00ED288D" w:rsidRPr="00ED288D" w:rsidRDefault="00ED288D" w:rsidP="009D3296">
      <w:pPr>
        <w:pStyle w:val="ListParagraph"/>
        <w:ind w:left="810"/>
        <w:rPr>
          <w:rFonts w:cstheme="minorHAnsi"/>
        </w:rPr>
      </w:pPr>
    </w:p>
    <w:p w14:paraId="73B6C575" w14:textId="786F460A" w:rsidR="00130CB0" w:rsidRDefault="00D4622D" w:rsidP="009D3296">
      <w:pPr>
        <w:pStyle w:val="ListParagraph"/>
        <w:numPr>
          <w:ilvl w:val="0"/>
          <w:numId w:val="58"/>
        </w:numPr>
        <w:ind w:left="810"/>
        <w:rPr>
          <w:rFonts w:cstheme="minorHAnsi"/>
        </w:rPr>
      </w:pPr>
      <w:r>
        <w:rPr>
          <w:rFonts w:cstheme="minorHAnsi"/>
        </w:rPr>
        <w:t>f</w:t>
      </w:r>
      <w:r w:rsidR="00D3513C">
        <w:rPr>
          <w:rFonts w:cstheme="minorHAnsi"/>
        </w:rPr>
        <w:t xml:space="preserve">ailure </w:t>
      </w:r>
      <w:r w:rsidR="000C484E">
        <w:rPr>
          <w:rFonts w:cstheme="minorHAnsi"/>
        </w:rPr>
        <w:t>to</w:t>
      </w:r>
      <w:r w:rsidR="00D3513C">
        <w:rPr>
          <w:rFonts w:cstheme="minorHAnsi"/>
        </w:rPr>
        <w:t xml:space="preserve"> account for amenity and </w:t>
      </w:r>
      <w:r w:rsidR="000C484E">
        <w:rPr>
          <w:rFonts w:cstheme="minorHAnsi"/>
        </w:rPr>
        <w:t xml:space="preserve">‘liveability’ outcomes and co-benefits in </w:t>
      </w:r>
      <w:r>
        <w:rPr>
          <w:rFonts w:cstheme="minorHAnsi"/>
        </w:rPr>
        <w:t>Water Sensitive Urban Design (</w:t>
      </w:r>
      <w:r w:rsidRPr="009D3296">
        <w:rPr>
          <w:rFonts w:cstheme="minorHAnsi"/>
          <w:b/>
        </w:rPr>
        <w:t>‘</w:t>
      </w:r>
      <w:r w:rsidR="000C484E" w:rsidRPr="009D3296">
        <w:rPr>
          <w:rFonts w:cstheme="minorHAnsi"/>
          <w:b/>
        </w:rPr>
        <w:t>WSUD</w:t>
      </w:r>
      <w:r w:rsidRPr="009D3296">
        <w:rPr>
          <w:rFonts w:cstheme="minorHAnsi"/>
          <w:b/>
        </w:rPr>
        <w:t>’</w:t>
      </w:r>
      <w:r>
        <w:rPr>
          <w:rFonts w:cstheme="minorHAnsi"/>
        </w:rPr>
        <w:t>)</w:t>
      </w:r>
      <w:r w:rsidR="000C484E">
        <w:rPr>
          <w:rFonts w:cstheme="minorHAnsi"/>
        </w:rPr>
        <w:t xml:space="preserve"> measures proposed</w:t>
      </w:r>
      <w:r>
        <w:rPr>
          <w:rFonts w:cstheme="minorHAnsi"/>
        </w:rPr>
        <w:t>;</w:t>
      </w:r>
    </w:p>
    <w:p w14:paraId="140CBE64" w14:textId="77777777" w:rsidR="00ED288D" w:rsidRPr="00ED288D" w:rsidRDefault="00ED288D" w:rsidP="009D3296">
      <w:pPr>
        <w:pStyle w:val="ListParagraph"/>
        <w:ind w:left="810"/>
        <w:rPr>
          <w:rFonts w:cstheme="minorHAnsi"/>
        </w:rPr>
      </w:pPr>
    </w:p>
    <w:p w14:paraId="31CC8388" w14:textId="058AE59A" w:rsidR="000C484E" w:rsidRDefault="00D4622D" w:rsidP="009D3296">
      <w:pPr>
        <w:pStyle w:val="ListParagraph"/>
        <w:numPr>
          <w:ilvl w:val="0"/>
          <w:numId w:val="58"/>
        </w:numPr>
        <w:ind w:left="810"/>
        <w:rPr>
          <w:rFonts w:cstheme="minorHAnsi"/>
        </w:rPr>
      </w:pPr>
      <w:r>
        <w:rPr>
          <w:rFonts w:cstheme="minorHAnsi"/>
        </w:rPr>
        <w:t>f</w:t>
      </w:r>
      <w:r w:rsidR="000C484E">
        <w:rPr>
          <w:rFonts w:cstheme="minorHAnsi"/>
        </w:rPr>
        <w:t>ailure to identify or account for the full scope or complement of WSUD features that may be relevant, applicable or required to achieve IWM objectives (</w:t>
      </w:r>
      <w:r>
        <w:rPr>
          <w:rFonts w:cstheme="minorHAnsi"/>
        </w:rPr>
        <w:t xml:space="preserve">i.e. </w:t>
      </w:r>
      <w:r w:rsidR="000C484E">
        <w:rPr>
          <w:rFonts w:cstheme="minorHAnsi"/>
        </w:rPr>
        <w:t>underground storage, bio</w:t>
      </w:r>
      <w:r>
        <w:rPr>
          <w:rFonts w:cstheme="minorHAnsi"/>
        </w:rPr>
        <w:t>-</w:t>
      </w:r>
      <w:r w:rsidR="000C484E">
        <w:rPr>
          <w:rFonts w:cstheme="minorHAnsi"/>
        </w:rPr>
        <w:t>retention and wetlands are the proposed assets)</w:t>
      </w:r>
      <w:r>
        <w:rPr>
          <w:rFonts w:cstheme="minorHAnsi"/>
        </w:rPr>
        <w:t>;</w:t>
      </w:r>
    </w:p>
    <w:p w14:paraId="111B59A7" w14:textId="77777777" w:rsidR="00ED288D" w:rsidRPr="00ED288D" w:rsidRDefault="00ED288D" w:rsidP="009D3296">
      <w:pPr>
        <w:pStyle w:val="ListParagraph"/>
        <w:ind w:left="810"/>
        <w:rPr>
          <w:rFonts w:cstheme="minorHAnsi"/>
        </w:rPr>
      </w:pPr>
    </w:p>
    <w:p w14:paraId="39B80BD4" w14:textId="3C96E9A9" w:rsidR="000C484E" w:rsidRDefault="00D4622D" w:rsidP="009D3296">
      <w:pPr>
        <w:pStyle w:val="ListParagraph"/>
        <w:numPr>
          <w:ilvl w:val="0"/>
          <w:numId w:val="58"/>
        </w:numPr>
        <w:ind w:left="810"/>
        <w:rPr>
          <w:rFonts w:cstheme="minorHAnsi"/>
        </w:rPr>
      </w:pPr>
      <w:r>
        <w:rPr>
          <w:rFonts w:cstheme="minorHAnsi"/>
        </w:rPr>
        <w:t>h</w:t>
      </w:r>
      <w:r w:rsidR="000C484E">
        <w:rPr>
          <w:rFonts w:cstheme="minorHAnsi"/>
        </w:rPr>
        <w:t>ow WSUD assets wi</w:t>
      </w:r>
      <w:r w:rsidR="006364CB">
        <w:rPr>
          <w:rFonts w:cstheme="minorHAnsi"/>
        </w:rPr>
        <w:t>ll be maintained and</w:t>
      </w:r>
      <w:r w:rsidR="009F37AA">
        <w:rPr>
          <w:rFonts w:cstheme="minorHAnsi"/>
        </w:rPr>
        <w:t xml:space="preserve"> a general</w:t>
      </w:r>
      <w:r w:rsidR="006364CB">
        <w:rPr>
          <w:rFonts w:cstheme="minorHAnsi"/>
        </w:rPr>
        <w:t xml:space="preserve"> accounting for deterioration in performance </w:t>
      </w:r>
      <w:r w:rsidR="000F313D">
        <w:rPr>
          <w:rFonts w:cstheme="minorHAnsi"/>
        </w:rPr>
        <w:t>of constructed assets</w:t>
      </w:r>
      <w:r>
        <w:rPr>
          <w:rFonts w:cstheme="minorHAnsi"/>
        </w:rPr>
        <w:t>;</w:t>
      </w:r>
    </w:p>
    <w:p w14:paraId="6D19CE58" w14:textId="77777777" w:rsidR="00ED288D" w:rsidRPr="00ED288D" w:rsidRDefault="00ED288D" w:rsidP="009D3296">
      <w:pPr>
        <w:pStyle w:val="ListParagraph"/>
        <w:ind w:left="810"/>
        <w:rPr>
          <w:rFonts w:cstheme="minorHAnsi"/>
        </w:rPr>
      </w:pPr>
    </w:p>
    <w:p w14:paraId="6B085DC5" w14:textId="3B859E7A" w:rsidR="006364CB" w:rsidRDefault="00D4622D" w:rsidP="009D3296">
      <w:pPr>
        <w:pStyle w:val="ListParagraph"/>
        <w:numPr>
          <w:ilvl w:val="0"/>
          <w:numId w:val="58"/>
        </w:numPr>
        <w:ind w:left="810"/>
        <w:rPr>
          <w:rFonts w:cstheme="minorHAnsi"/>
        </w:rPr>
      </w:pPr>
      <w:r>
        <w:rPr>
          <w:rFonts w:cstheme="minorHAnsi"/>
        </w:rPr>
        <w:t>i</w:t>
      </w:r>
      <w:r w:rsidR="00ED1282">
        <w:rPr>
          <w:rFonts w:cstheme="minorHAnsi"/>
        </w:rPr>
        <w:t xml:space="preserve">nadequate consideration and assessment of water quality parameters in stormwater runoff from roads (freeways in particular), inconsistent with environmental quality indicators under the </w:t>
      </w:r>
      <w:r w:rsidR="00ED1282" w:rsidRPr="00870BC2">
        <w:rPr>
          <w:rFonts w:cstheme="minorHAnsi"/>
          <w:i/>
        </w:rPr>
        <w:t>SEPP (Waters)</w:t>
      </w:r>
      <w:r w:rsidR="00ED1282">
        <w:rPr>
          <w:rFonts w:cstheme="minorHAnsi"/>
        </w:rPr>
        <w:t xml:space="preserve"> and unduly relying on limited parameters in the B</w:t>
      </w:r>
      <w:r>
        <w:rPr>
          <w:rFonts w:cstheme="minorHAnsi"/>
        </w:rPr>
        <w:t xml:space="preserve">est </w:t>
      </w:r>
      <w:r w:rsidR="00ED1282">
        <w:rPr>
          <w:rFonts w:cstheme="minorHAnsi"/>
        </w:rPr>
        <w:t>P</w:t>
      </w:r>
      <w:r>
        <w:rPr>
          <w:rFonts w:cstheme="minorHAnsi"/>
        </w:rPr>
        <w:t xml:space="preserve">ractice </w:t>
      </w:r>
      <w:r w:rsidR="00ED1282">
        <w:rPr>
          <w:rFonts w:cstheme="minorHAnsi"/>
        </w:rPr>
        <w:t>E</w:t>
      </w:r>
      <w:r>
        <w:rPr>
          <w:rFonts w:cstheme="minorHAnsi"/>
        </w:rPr>
        <w:t xml:space="preserve">nvironmental </w:t>
      </w:r>
      <w:r w:rsidR="00ED1282">
        <w:rPr>
          <w:rFonts w:cstheme="minorHAnsi"/>
        </w:rPr>
        <w:t>M</w:t>
      </w:r>
      <w:r>
        <w:rPr>
          <w:rFonts w:cstheme="minorHAnsi"/>
        </w:rPr>
        <w:t>anagement (</w:t>
      </w:r>
      <w:r w:rsidRPr="009D3296">
        <w:rPr>
          <w:rFonts w:cstheme="minorHAnsi"/>
          <w:b/>
        </w:rPr>
        <w:t>‘BPEM’</w:t>
      </w:r>
      <w:r>
        <w:rPr>
          <w:rFonts w:cstheme="minorHAnsi"/>
        </w:rPr>
        <w:t>)</w:t>
      </w:r>
      <w:r w:rsidR="00ED1282">
        <w:rPr>
          <w:rFonts w:cstheme="minorHAnsi"/>
        </w:rPr>
        <w:t xml:space="preserve"> Guidelines. </w:t>
      </w:r>
      <w:r w:rsidR="00EC25CD">
        <w:rPr>
          <w:rFonts w:cstheme="minorHAnsi"/>
        </w:rPr>
        <w:t>Specifically, the EES fails to consider heavy metals and other toxicants typical of road runoff and how these are to be managed. As Mr Dunn’s evidence also showed</w:t>
      </w:r>
      <w:r w:rsidR="00B17D5A">
        <w:rPr>
          <w:rFonts w:cstheme="minorHAnsi"/>
        </w:rPr>
        <w:t>,</w:t>
      </w:r>
      <w:r w:rsidR="00EC25CD">
        <w:rPr>
          <w:rFonts w:cstheme="minorHAnsi"/>
        </w:rPr>
        <w:t xml:space="preserve"> the Reference Design relies substantially on underground storage which will not, without further treatment, manage these toxicants.</w:t>
      </w:r>
      <w:r>
        <w:rPr>
          <w:rStyle w:val="FootnoteReference"/>
          <w:rFonts w:cstheme="minorHAnsi"/>
        </w:rPr>
        <w:footnoteReference w:id="41"/>
      </w:r>
      <w:r w:rsidR="00EC25CD">
        <w:rPr>
          <w:rFonts w:cstheme="minorHAnsi"/>
        </w:rPr>
        <w:t xml:space="preserve"> </w:t>
      </w:r>
    </w:p>
    <w:p w14:paraId="5BB2B236" w14:textId="77777777" w:rsidR="00DF3D42" w:rsidRDefault="00DF3D42" w:rsidP="00DF3D42">
      <w:pPr>
        <w:pStyle w:val="ListParagraph"/>
        <w:ind w:left="1440"/>
        <w:rPr>
          <w:rFonts w:cstheme="minorHAnsi"/>
        </w:rPr>
      </w:pPr>
    </w:p>
    <w:p w14:paraId="7D919965" w14:textId="35AD2416" w:rsidR="008D7965" w:rsidRDefault="00F849A8" w:rsidP="009D3296">
      <w:pPr>
        <w:pStyle w:val="ListParagraph"/>
        <w:numPr>
          <w:ilvl w:val="0"/>
          <w:numId w:val="6"/>
        </w:numPr>
        <w:ind w:left="360"/>
        <w:rPr>
          <w:rFonts w:cstheme="minorHAnsi"/>
        </w:rPr>
      </w:pPr>
      <w:r>
        <w:rPr>
          <w:rFonts w:cstheme="minorHAnsi"/>
        </w:rPr>
        <w:t>We submit that</w:t>
      </w:r>
      <w:r w:rsidR="00680525">
        <w:rPr>
          <w:rFonts w:cstheme="minorHAnsi"/>
        </w:rPr>
        <w:t>,</w:t>
      </w:r>
      <w:r>
        <w:rPr>
          <w:rFonts w:cstheme="minorHAnsi"/>
        </w:rPr>
        <w:t xml:space="preserve"> taken together</w:t>
      </w:r>
      <w:r w:rsidR="00680525">
        <w:rPr>
          <w:rFonts w:cstheme="minorHAnsi"/>
        </w:rPr>
        <w:t>,</w:t>
      </w:r>
      <w:r>
        <w:rPr>
          <w:rFonts w:cstheme="minorHAnsi"/>
        </w:rPr>
        <w:t xml:space="preserve"> the relevant planning policies do </w:t>
      </w:r>
      <w:r w:rsidR="00680525">
        <w:rPr>
          <w:rFonts w:cstheme="minorHAnsi"/>
        </w:rPr>
        <w:t>recognise</w:t>
      </w:r>
      <w:r>
        <w:rPr>
          <w:rFonts w:cstheme="minorHAnsi"/>
        </w:rPr>
        <w:t xml:space="preserve"> potential benefits to road infrastructure and freight movement </w:t>
      </w:r>
      <w:r w:rsidR="00680525">
        <w:rPr>
          <w:rFonts w:cstheme="minorHAnsi"/>
        </w:rPr>
        <w:t>as</w:t>
      </w:r>
      <w:r>
        <w:rPr>
          <w:rFonts w:cstheme="minorHAnsi"/>
        </w:rPr>
        <w:t xml:space="preserve"> the NELP</w:t>
      </w:r>
      <w:r w:rsidR="00680525">
        <w:rPr>
          <w:rFonts w:cstheme="minorHAnsi"/>
        </w:rPr>
        <w:t xml:space="preserve"> proposes,</w:t>
      </w:r>
      <w:r>
        <w:rPr>
          <w:rFonts w:cstheme="minorHAnsi"/>
        </w:rPr>
        <w:t xml:space="preserve"> </w:t>
      </w:r>
      <w:r w:rsidR="00680525">
        <w:rPr>
          <w:rFonts w:cstheme="minorHAnsi"/>
        </w:rPr>
        <w:t xml:space="preserve">but </w:t>
      </w:r>
      <w:r w:rsidR="00ED4353">
        <w:rPr>
          <w:rFonts w:cstheme="minorHAnsi"/>
        </w:rPr>
        <w:t xml:space="preserve">those benefits and uses clearly and emphatically sit within </w:t>
      </w:r>
      <w:r w:rsidR="0085058C">
        <w:rPr>
          <w:rFonts w:cstheme="minorHAnsi"/>
        </w:rPr>
        <w:t xml:space="preserve">a framework of strong and protective environmental measures, </w:t>
      </w:r>
      <w:r w:rsidR="00A4445B">
        <w:rPr>
          <w:rFonts w:cstheme="minorHAnsi"/>
        </w:rPr>
        <w:t>directed to trajectories of improvement to urban ecology and</w:t>
      </w:r>
      <w:r w:rsidR="002128CB">
        <w:rPr>
          <w:rFonts w:cstheme="minorHAnsi"/>
        </w:rPr>
        <w:t xml:space="preserve"> improvement</w:t>
      </w:r>
      <w:r w:rsidR="00A4445B">
        <w:rPr>
          <w:rFonts w:cstheme="minorHAnsi"/>
        </w:rPr>
        <w:t xml:space="preserve"> to resilience and </w:t>
      </w:r>
      <w:r w:rsidR="000807B3">
        <w:rPr>
          <w:rFonts w:cstheme="minorHAnsi"/>
        </w:rPr>
        <w:t xml:space="preserve">‘liveability’ of the urban fabric. </w:t>
      </w:r>
    </w:p>
    <w:p w14:paraId="4E4E2407" w14:textId="77777777" w:rsidR="002128CB" w:rsidRDefault="002128CB" w:rsidP="009D3296">
      <w:pPr>
        <w:pStyle w:val="ListParagraph"/>
        <w:ind w:left="360"/>
        <w:rPr>
          <w:rFonts w:cstheme="minorHAnsi"/>
        </w:rPr>
      </w:pPr>
    </w:p>
    <w:p w14:paraId="22E5F8E6" w14:textId="7629D935" w:rsidR="002128CB" w:rsidRDefault="00563D4E" w:rsidP="009D3296">
      <w:pPr>
        <w:pStyle w:val="ListParagraph"/>
        <w:numPr>
          <w:ilvl w:val="0"/>
          <w:numId w:val="6"/>
        </w:numPr>
        <w:ind w:left="360"/>
        <w:rPr>
          <w:rFonts w:cstheme="minorHAnsi"/>
        </w:rPr>
      </w:pPr>
      <w:r>
        <w:rPr>
          <w:rFonts w:cstheme="minorHAnsi"/>
        </w:rPr>
        <w:t>Interpreted this way</w:t>
      </w:r>
      <w:r w:rsidR="00D4622D">
        <w:rPr>
          <w:rFonts w:cstheme="minorHAnsi"/>
        </w:rPr>
        <w:t>,</w:t>
      </w:r>
      <w:r>
        <w:rPr>
          <w:rFonts w:cstheme="minorHAnsi"/>
        </w:rPr>
        <w:t xml:space="preserve"> it is fair to say that </w:t>
      </w:r>
      <w:r w:rsidR="00D4622D">
        <w:rPr>
          <w:rFonts w:cstheme="minorHAnsi"/>
        </w:rPr>
        <w:t xml:space="preserve">planning policies call for </w:t>
      </w:r>
      <w:r>
        <w:rPr>
          <w:rFonts w:cstheme="minorHAnsi"/>
        </w:rPr>
        <w:t>an equal</w:t>
      </w:r>
      <w:r w:rsidR="003634DD">
        <w:rPr>
          <w:rFonts w:cstheme="minorHAnsi"/>
        </w:rPr>
        <w:t>, respectful</w:t>
      </w:r>
      <w:r>
        <w:rPr>
          <w:rFonts w:cstheme="minorHAnsi"/>
        </w:rPr>
        <w:t xml:space="preserve"> and reciprocal dialogue between infrastructure development and the </w:t>
      </w:r>
      <w:r w:rsidR="00F51DE3">
        <w:rPr>
          <w:rFonts w:cstheme="minorHAnsi"/>
        </w:rPr>
        <w:t xml:space="preserve">urban </w:t>
      </w:r>
      <w:r>
        <w:rPr>
          <w:rFonts w:cstheme="minorHAnsi"/>
        </w:rPr>
        <w:t>environment</w:t>
      </w:r>
      <w:r w:rsidR="00D4622D">
        <w:rPr>
          <w:rFonts w:cstheme="minorHAnsi"/>
        </w:rPr>
        <w:t>.</w:t>
      </w:r>
      <w:r>
        <w:rPr>
          <w:rFonts w:cstheme="minorHAnsi"/>
        </w:rPr>
        <w:t xml:space="preserve"> </w:t>
      </w:r>
    </w:p>
    <w:p w14:paraId="5D29A93B" w14:textId="77777777" w:rsidR="008D7965" w:rsidRPr="008D7965" w:rsidRDefault="008D7965" w:rsidP="009D3296">
      <w:pPr>
        <w:pStyle w:val="ListParagraph"/>
        <w:ind w:left="360"/>
        <w:rPr>
          <w:rFonts w:cstheme="minorHAnsi"/>
        </w:rPr>
      </w:pPr>
    </w:p>
    <w:p w14:paraId="767A0A7D" w14:textId="5B344FDE" w:rsidR="00D4622D" w:rsidRDefault="008D7965" w:rsidP="009D3296">
      <w:pPr>
        <w:pStyle w:val="ListParagraph"/>
        <w:numPr>
          <w:ilvl w:val="0"/>
          <w:numId w:val="6"/>
        </w:numPr>
        <w:ind w:left="360"/>
        <w:rPr>
          <w:rFonts w:cstheme="minorHAnsi"/>
        </w:rPr>
      </w:pPr>
      <w:r>
        <w:rPr>
          <w:rFonts w:cstheme="minorHAnsi"/>
        </w:rPr>
        <w:t>In our submission, the Reference Design a</w:t>
      </w:r>
      <w:r w:rsidR="00131877">
        <w:rPr>
          <w:rFonts w:cstheme="minorHAnsi"/>
        </w:rPr>
        <w:t xml:space="preserve">ppears at best to </w:t>
      </w:r>
      <w:r w:rsidR="00D4622D">
        <w:rPr>
          <w:rFonts w:cstheme="minorHAnsi"/>
        </w:rPr>
        <w:t>have</w:t>
      </w:r>
      <w:r w:rsidR="00087568">
        <w:rPr>
          <w:rFonts w:cstheme="minorHAnsi"/>
        </w:rPr>
        <w:t xml:space="preserve"> </w:t>
      </w:r>
      <w:r w:rsidR="00087568" w:rsidRPr="00424764">
        <w:rPr>
          <w:rFonts w:cstheme="minorHAnsi"/>
          <w:i/>
        </w:rPr>
        <w:t>regard</w:t>
      </w:r>
      <w:r w:rsidR="00087568">
        <w:rPr>
          <w:rFonts w:cstheme="minorHAnsi"/>
        </w:rPr>
        <w:t xml:space="preserve"> to environmental and ‘liveability’ </w:t>
      </w:r>
      <w:r w:rsidR="00424764">
        <w:rPr>
          <w:rFonts w:cstheme="minorHAnsi"/>
        </w:rPr>
        <w:t>imperatives</w:t>
      </w:r>
      <w:r w:rsidR="00D4622D">
        <w:rPr>
          <w:rFonts w:cstheme="minorHAnsi"/>
        </w:rPr>
        <w:t>,</w:t>
      </w:r>
      <w:r w:rsidR="00424764">
        <w:rPr>
          <w:rFonts w:cstheme="minorHAnsi"/>
        </w:rPr>
        <w:t xml:space="preserve"> </w:t>
      </w:r>
      <w:r w:rsidR="003C220F">
        <w:rPr>
          <w:rFonts w:cstheme="minorHAnsi"/>
        </w:rPr>
        <w:t xml:space="preserve">but </w:t>
      </w:r>
      <w:r w:rsidR="00B17D5A">
        <w:rPr>
          <w:rFonts w:cstheme="minorHAnsi"/>
        </w:rPr>
        <w:t xml:space="preserve">does treat them </w:t>
      </w:r>
      <w:r w:rsidR="00D4622D">
        <w:rPr>
          <w:rFonts w:cstheme="minorHAnsi"/>
        </w:rPr>
        <w:t>equally.</w:t>
      </w:r>
      <w:r w:rsidR="003C220F">
        <w:rPr>
          <w:rFonts w:cstheme="minorHAnsi"/>
        </w:rPr>
        <w:t xml:space="preserve"> To put it another way, the urban environment is in the room but it is not at the table</w:t>
      </w:r>
      <w:r w:rsidR="00D4622D">
        <w:rPr>
          <w:rFonts w:cstheme="minorHAnsi"/>
        </w:rPr>
        <w:t>.</w:t>
      </w:r>
    </w:p>
    <w:p w14:paraId="3578317E" w14:textId="4C728D65" w:rsidR="00B10EA2" w:rsidRPr="00B10EA2" w:rsidRDefault="003C220F" w:rsidP="009D3296">
      <w:r w:rsidRPr="00485291">
        <w:rPr>
          <w:rFonts w:cstheme="minorHAnsi"/>
        </w:rPr>
        <w:t xml:space="preserve"> </w:t>
      </w:r>
    </w:p>
    <w:p w14:paraId="0D5B9C5C" w14:textId="37EB7EEB" w:rsidR="00B10EA2" w:rsidRPr="004C7163" w:rsidRDefault="004C50FC" w:rsidP="009D3296">
      <w:pPr>
        <w:pStyle w:val="Heading1"/>
        <w:numPr>
          <w:ilvl w:val="0"/>
          <w:numId w:val="42"/>
        </w:numPr>
        <w:ind w:left="360"/>
      </w:pPr>
      <w:bookmarkStart w:id="10" w:name="_Toc18573007"/>
      <w:bookmarkStart w:id="11" w:name="_Toc18592020"/>
      <w:r>
        <w:t>The E</w:t>
      </w:r>
      <w:r w:rsidR="009C2FB9">
        <w:t xml:space="preserve">nvironmental </w:t>
      </w:r>
      <w:r>
        <w:t>I</w:t>
      </w:r>
      <w:r w:rsidR="009C2FB9">
        <w:t xml:space="preserve">mpact – </w:t>
      </w:r>
      <w:r w:rsidR="00B10EA2" w:rsidRPr="004C7163">
        <w:t>Specific</w:t>
      </w:r>
      <w:r w:rsidR="009C2FB9">
        <w:t xml:space="preserve"> </w:t>
      </w:r>
      <w:r>
        <w:t>M</w:t>
      </w:r>
      <w:r w:rsidR="00B10EA2" w:rsidRPr="004C7163">
        <w:t>atters</w:t>
      </w:r>
      <w:bookmarkEnd w:id="10"/>
      <w:bookmarkEnd w:id="11"/>
    </w:p>
    <w:p w14:paraId="70DF0376" w14:textId="77777777" w:rsidR="00DB2ACD" w:rsidRPr="00DB2ACD" w:rsidRDefault="00DB2ACD" w:rsidP="00DB2ACD">
      <w:pPr>
        <w:pStyle w:val="ListParagraph"/>
        <w:rPr>
          <w:rFonts w:cstheme="minorHAnsi"/>
        </w:rPr>
      </w:pPr>
    </w:p>
    <w:p w14:paraId="37EEFDD7" w14:textId="70402EBA" w:rsidR="00ED7D6C" w:rsidRDefault="00F70E45" w:rsidP="00ED7D6C">
      <w:pPr>
        <w:pStyle w:val="ListParagraph"/>
        <w:numPr>
          <w:ilvl w:val="0"/>
          <w:numId w:val="6"/>
        </w:numPr>
        <w:ind w:left="360"/>
        <w:rPr>
          <w:rFonts w:cstheme="minorHAnsi"/>
        </w:rPr>
      </w:pPr>
      <w:r>
        <w:rPr>
          <w:rFonts w:cstheme="minorHAnsi"/>
        </w:rPr>
        <w:t xml:space="preserve">The following submissions address the impact of the NELP, as currently proposed, on specific </w:t>
      </w:r>
      <w:r w:rsidR="00B10EA2">
        <w:rPr>
          <w:rFonts w:cstheme="minorHAnsi"/>
        </w:rPr>
        <w:t>public environmental assets.</w:t>
      </w:r>
    </w:p>
    <w:p w14:paraId="694D8A62" w14:textId="77777777" w:rsidR="00ED7D6C" w:rsidRPr="00ED7D6C" w:rsidRDefault="00ED7D6C" w:rsidP="00ED7D6C">
      <w:pPr>
        <w:rPr>
          <w:rFonts w:cstheme="minorHAnsi"/>
        </w:rPr>
      </w:pPr>
    </w:p>
    <w:p w14:paraId="1A95CC75" w14:textId="1522EAED" w:rsidR="00D61FB9" w:rsidRPr="00D61FB9" w:rsidRDefault="00D61FB9" w:rsidP="009D3296">
      <w:pPr>
        <w:pStyle w:val="Heading2"/>
      </w:pPr>
      <w:bookmarkStart w:id="12" w:name="_Toc18573008"/>
      <w:bookmarkStart w:id="13" w:name="_Toc18592021"/>
      <w:r w:rsidRPr="00D61FB9">
        <w:t xml:space="preserve">Impact on the Yarra River and floodplain, including Bolin </w:t>
      </w:r>
      <w:proofErr w:type="spellStart"/>
      <w:r w:rsidRPr="00D61FB9">
        <w:t>Bolin</w:t>
      </w:r>
      <w:proofErr w:type="spellEnd"/>
      <w:r w:rsidRPr="00D61FB9">
        <w:t xml:space="preserve"> Billabong</w:t>
      </w:r>
      <w:bookmarkEnd w:id="12"/>
      <w:bookmarkEnd w:id="13"/>
    </w:p>
    <w:p w14:paraId="258D4ACA" w14:textId="3BAA97FE" w:rsidR="00D61FB9" w:rsidRPr="0026418B" w:rsidRDefault="00D61FB9" w:rsidP="009D3296">
      <w:pPr>
        <w:pStyle w:val="Heading3"/>
      </w:pPr>
      <w:bookmarkStart w:id="14" w:name="_Toc18573009"/>
      <w:bookmarkStart w:id="15" w:name="_Toc18592022"/>
      <w:r w:rsidRPr="00C7776E">
        <w:t>The Yarra River Corridor</w:t>
      </w:r>
      <w:bookmarkEnd w:id="14"/>
      <w:bookmarkEnd w:id="15"/>
    </w:p>
    <w:p w14:paraId="296D438B" w14:textId="4F0242B7" w:rsidR="00305578" w:rsidRDefault="00811B4F" w:rsidP="00305578">
      <w:pPr>
        <w:pStyle w:val="ListParagraph"/>
        <w:numPr>
          <w:ilvl w:val="0"/>
          <w:numId w:val="6"/>
        </w:numPr>
        <w:ind w:left="360"/>
        <w:rPr>
          <w:rFonts w:cstheme="minorHAnsi"/>
        </w:rPr>
      </w:pPr>
      <w:r>
        <w:rPr>
          <w:rFonts w:cstheme="minorHAnsi"/>
        </w:rPr>
        <w:t>Impacts on the Yarra River corridor and their avoidance are a key consideration in the acceptability of the NELP.</w:t>
      </w:r>
    </w:p>
    <w:p w14:paraId="7CEB5DFD" w14:textId="77777777" w:rsidR="00305578" w:rsidRDefault="00305578" w:rsidP="009D3296">
      <w:pPr>
        <w:pStyle w:val="ListParagraph"/>
        <w:ind w:left="360"/>
        <w:rPr>
          <w:rFonts w:cstheme="minorHAnsi"/>
        </w:rPr>
      </w:pPr>
    </w:p>
    <w:p w14:paraId="70F60C1C" w14:textId="15EDB943" w:rsidR="00305578" w:rsidRDefault="00305578" w:rsidP="00305578">
      <w:pPr>
        <w:pStyle w:val="ListParagraph"/>
        <w:numPr>
          <w:ilvl w:val="0"/>
          <w:numId w:val="6"/>
        </w:numPr>
        <w:ind w:left="360"/>
        <w:rPr>
          <w:rFonts w:cstheme="minorHAnsi"/>
        </w:rPr>
      </w:pPr>
      <w:r w:rsidRPr="00305578">
        <w:rPr>
          <w:rFonts w:cstheme="minorHAnsi"/>
        </w:rPr>
        <w:t xml:space="preserve">We note that the bored tunnel under the Yarra River from just north of the Bulleen Rd/Eastern Freeway intersection to just south of Lower Plenty Rd will avoid significant adverse impacts on </w:t>
      </w:r>
      <w:r w:rsidRPr="00305578">
        <w:rPr>
          <w:rFonts w:cstheme="minorHAnsi"/>
        </w:rPr>
        <w:lastRenderedPageBreak/>
        <w:t xml:space="preserve">the Yarra River and its environs. However, </w:t>
      </w:r>
      <w:r w:rsidR="001D488F">
        <w:rPr>
          <w:rFonts w:cstheme="minorHAnsi"/>
        </w:rPr>
        <w:t xml:space="preserve">the </w:t>
      </w:r>
      <w:r w:rsidRPr="00305578">
        <w:rPr>
          <w:rFonts w:cstheme="minorHAnsi"/>
        </w:rPr>
        <w:t>bored tunnel accounted for, it is still necessary to determine whether the impacts of the NELP as proposed are acceptable in relation to the Yarra River corridor.</w:t>
      </w:r>
    </w:p>
    <w:p w14:paraId="2A3B70EE" w14:textId="77777777" w:rsidR="00305578" w:rsidRPr="00305578" w:rsidRDefault="00305578" w:rsidP="009D3296">
      <w:pPr>
        <w:pStyle w:val="ListParagraph"/>
        <w:rPr>
          <w:rFonts w:cstheme="minorHAnsi"/>
        </w:rPr>
      </w:pPr>
    </w:p>
    <w:p w14:paraId="21F4BDD2" w14:textId="679241E0" w:rsidR="006931B7" w:rsidRPr="00305578" w:rsidRDefault="00305578" w:rsidP="00305578">
      <w:pPr>
        <w:pStyle w:val="ListParagraph"/>
        <w:numPr>
          <w:ilvl w:val="0"/>
          <w:numId w:val="6"/>
        </w:numPr>
        <w:ind w:left="360"/>
        <w:rPr>
          <w:rFonts w:cstheme="minorHAnsi"/>
        </w:rPr>
      </w:pPr>
      <w:r w:rsidRPr="00305578">
        <w:rPr>
          <w:rFonts w:cstheme="minorHAnsi"/>
        </w:rPr>
        <w:t>We submit that it may not be and, more likely, there is insufficient information presently available for the IAC to make findings that it is acceptable.</w:t>
      </w:r>
    </w:p>
    <w:p w14:paraId="69DDF098" w14:textId="77777777" w:rsidR="00305578" w:rsidRDefault="00305578" w:rsidP="009D3296">
      <w:pPr>
        <w:pStyle w:val="ListParagraph"/>
        <w:ind w:left="360"/>
        <w:rPr>
          <w:rFonts w:cstheme="minorHAnsi"/>
        </w:rPr>
      </w:pPr>
    </w:p>
    <w:p w14:paraId="1AE99BED" w14:textId="580D7F2C" w:rsidR="006F5ABD" w:rsidRPr="006F5ABD" w:rsidRDefault="006931B7" w:rsidP="009D3296">
      <w:pPr>
        <w:pStyle w:val="ListParagraph"/>
        <w:numPr>
          <w:ilvl w:val="0"/>
          <w:numId w:val="6"/>
        </w:numPr>
        <w:ind w:left="360"/>
      </w:pPr>
      <w:r w:rsidRPr="004905BF">
        <w:rPr>
          <w:rFonts w:cstheme="minorHAnsi"/>
        </w:rPr>
        <w:t xml:space="preserve">We take the ‘Yarra River corridor’ to include the river channel and adjacent public lands in the riparian zone and on the floodplains. This accords with the concept of ‘Yarra River land’ under the </w:t>
      </w:r>
      <w:r w:rsidRPr="009D3296">
        <w:rPr>
          <w:rFonts w:cstheme="minorHAnsi"/>
          <w:i/>
          <w:iCs/>
        </w:rPr>
        <w:t>Yarra River Protection (</w:t>
      </w:r>
      <w:proofErr w:type="spellStart"/>
      <w:r w:rsidRPr="009D3296">
        <w:rPr>
          <w:rFonts w:cstheme="minorHAnsi"/>
          <w:i/>
          <w:iCs/>
        </w:rPr>
        <w:t>wilip</w:t>
      </w:r>
      <w:proofErr w:type="spellEnd"/>
      <w:r w:rsidRPr="009D3296">
        <w:rPr>
          <w:rFonts w:cstheme="minorHAnsi"/>
          <w:i/>
          <w:iCs/>
        </w:rPr>
        <w:t xml:space="preserve">-gin </w:t>
      </w:r>
      <w:proofErr w:type="spellStart"/>
      <w:r w:rsidRPr="009D3296">
        <w:rPr>
          <w:rFonts w:cstheme="minorHAnsi"/>
          <w:i/>
          <w:iCs/>
        </w:rPr>
        <w:t>Birrarung</w:t>
      </w:r>
      <w:proofErr w:type="spellEnd"/>
      <w:r w:rsidRPr="009D3296">
        <w:rPr>
          <w:rFonts w:cstheme="minorHAnsi"/>
          <w:i/>
          <w:iCs/>
        </w:rPr>
        <w:t xml:space="preserve"> </w:t>
      </w:r>
      <w:proofErr w:type="spellStart"/>
      <w:r w:rsidRPr="009D3296">
        <w:rPr>
          <w:rFonts w:cstheme="minorHAnsi"/>
          <w:i/>
          <w:iCs/>
        </w:rPr>
        <w:t>murron</w:t>
      </w:r>
      <w:proofErr w:type="spellEnd"/>
      <w:r w:rsidRPr="009D3296">
        <w:rPr>
          <w:rFonts w:cstheme="minorHAnsi"/>
          <w:i/>
          <w:iCs/>
        </w:rPr>
        <w:t>) Act 2017</w:t>
      </w:r>
      <w:r w:rsidRPr="004905BF">
        <w:rPr>
          <w:rFonts w:cstheme="minorHAnsi"/>
        </w:rPr>
        <w:t xml:space="preserve"> including declarations made in relation to that land.</w:t>
      </w:r>
      <w:r w:rsidR="006B597D">
        <w:rPr>
          <w:rStyle w:val="FootnoteReference"/>
          <w:rFonts w:cstheme="minorHAnsi"/>
        </w:rPr>
        <w:footnoteReference w:id="42"/>
      </w:r>
      <w:r w:rsidRPr="004905BF">
        <w:rPr>
          <w:rFonts w:cstheme="minorHAnsi"/>
        </w:rPr>
        <w:t xml:space="preserve"> </w:t>
      </w:r>
      <w:r w:rsidR="004905BF">
        <w:t xml:space="preserve">‘Yarra River land’ includes the area of Bolin </w:t>
      </w:r>
      <w:proofErr w:type="spellStart"/>
      <w:r w:rsidR="004905BF">
        <w:t>Bolin</w:t>
      </w:r>
      <w:proofErr w:type="spellEnd"/>
      <w:r w:rsidR="004905BF">
        <w:t xml:space="preserve"> Billabong and </w:t>
      </w:r>
      <w:r w:rsidR="001D488F">
        <w:t>Banyule Flats.</w:t>
      </w:r>
      <w:r w:rsidR="004905BF">
        <w:t xml:space="preserve"> Their fate however is connected to management of the Yarra River corridor.</w:t>
      </w:r>
    </w:p>
    <w:p w14:paraId="71556095" w14:textId="77777777" w:rsidR="004905BF" w:rsidRPr="009D3296" w:rsidRDefault="004905BF" w:rsidP="009D3296">
      <w:pPr>
        <w:pStyle w:val="ListParagraph"/>
        <w:ind w:left="360"/>
        <w:rPr>
          <w:rFonts w:cstheme="minorHAnsi"/>
          <w:sz w:val="24"/>
          <w:szCs w:val="24"/>
        </w:rPr>
      </w:pPr>
    </w:p>
    <w:p w14:paraId="63003AC8" w14:textId="28B409D7" w:rsidR="00726ACE" w:rsidRPr="009D3296" w:rsidRDefault="00726ACE" w:rsidP="00F92E41">
      <w:pPr>
        <w:pStyle w:val="ListParagraph"/>
        <w:numPr>
          <w:ilvl w:val="0"/>
          <w:numId w:val="6"/>
        </w:numPr>
        <w:ind w:left="360"/>
        <w:rPr>
          <w:rFonts w:cstheme="minorHAnsi"/>
        </w:rPr>
      </w:pPr>
      <w:r>
        <w:rPr>
          <w:rFonts w:cstheme="minorHAnsi"/>
        </w:rPr>
        <w:t>Clause 12.03-1R of the VPPs concerns Yarra River protection. The objective of the clause is</w:t>
      </w:r>
      <w:r w:rsidRPr="009D3296">
        <w:rPr>
          <w:rFonts w:cstheme="minorHAnsi"/>
          <w:sz w:val="24"/>
          <w:szCs w:val="24"/>
        </w:rPr>
        <w:t xml:space="preserve"> </w:t>
      </w:r>
      <w:r w:rsidR="00F92E41">
        <w:rPr>
          <w:rFonts w:cstheme="minorHAnsi"/>
          <w:sz w:val="24"/>
          <w:szCs w:val="24"/>
        </w:rPr>
        <w:t>‘</w:t>
      </w:r>
      <w:r w:rsidR="00F92E41" w:rsidRPr="00F92E41">
        <w:rPr>
          <w:rFonts w:cstheme="minorHAnsi"/>
        </w:rPr>
        <w:t>t</w:t>
      </w:r>
      <w:r w:rsidRPr="00F92E41">
        <w:rPr>
          <w:rFonts w:cstheme="minorHAnsi"/>
        </w:rPr>
        <w:t>o maintain and enhance the natural landscape character of the Yarra River corridor</w:t>
      </w:r>
      <w:r w:rsidR="00F92E41">
        <w:rPr>
          <w:rFonts w:cstheme="minorHAnsi"/>
        </w:rPr>
        <w:t>’</w:t>
      </w:r>
      <w:r w:rsidR="00F92E41" w:rsidRPr="009D3296">
        <w:rPr>
          <w:rFonts w:cstheme="minorHAnsi"/>
        </w:rPr>
        <w:t>.</w:t>
      </w:r>
      <w:r w:rsidR="004F579B">
        <w:rPr>
          <w:rStyle w:val="FootnoteReference"/>
          <w:rFonts w:cstheme="minorHAnsi"/>
        </w:rPr>
        <w:footnoteReference w:id="43"/>
      </w:r>
      <w:r w:rsidR="00F92E41" w:rsidRPr="009D3296">
        <w:rPr>
          <w:rFonts w:cstheme="minorHAnsi"/>
        </w:rPr>
        <w:t xml:space="preserve"> </w:t>
      </w:r>
    </w:p>
    <w:p w14:paraId="382F09B1" w14:textId="77777777" w:rsidR="00F92E41" w:rsidRPr="009D3296" w:rsidRDefault="00F92E41" w:rsidP="009D3296">
      <w:pPr>
        <w:pStyle w:val="ListParagraph"/>
        <w:ind w:left="360"/>
        <w:rPr>
          <w:rFonts w:cstheme="minorHAnsi"/>
          <w:sz w:val="20"/>
          <w:szCs w:val="20"/>
        </w:rPr>
      </w:pPr>
    </w:p>
    <w:p w14:paraId="00E8DABA" w14:textId="076C7258" w:rsidR="00F92E41" w:rsidRPr="00F92E41" w:rsidRDefault="00F92E41" w:rsidP="00F92E41">
      <w:pPr>
        <w:pStyle w:val="ListParagraph"/>
        <w:numPr>
          <w:ilvl w:val="0"/>
          <w:numId w:val="6"/>
        </w:numPr>
        <w:ind w:left="360"/>
        <w:rPr>
          <w:rFonts w:cstheme="minorHAnsi"/>
        </w:rPr>
      </w:pPr>
      <w:r>
        <w:rPr>
          <w:rFonts w:cstheme="minorHAnsi"/>
        </w:rPr>
        <w:t>Eleven</w:t>
      </w:r>
      <w:r w:rsidR="00726ACE">
        <w:rPr>
          <w:rFonts w:cstheme="minorHAnsi"/>
        </w:rPr>
        <w:t xml:space="preserve"> strategies are set out thereunder in pursuit of that objective. </w:t>
      </w:r>
      <w:r>
        <w:rPr>
          <w:rFonts w:cstheme="minorHAnsi"/>
        </w:rPr>
        <w:t xml:space="preserve">Whilst bored tunnelling </w:t>
      </w:r>
      <w:r w:rsidR="0076064D">
        <w:rPr>
          <w:rFonts w:cstheme="minorHAnsi"/>
        </w:rPr>
        <w:t xml:space="preserve">under the </w:t>
      </w:r>
      <w:r>
        <w:rPr>
          <w:rFonts w:cstheme="minorHAnsi"/>
        </w:rPr>
        <w:t>r</w:t>
      </w:r>
      <w:r w:rsidR="0076064D">
        <w:rPr>
          <w:rFonts w:cstheme="minorHAnsi"/>
        </w:rPr>
        <w:t>ive</w:t>
      </w:r>
      <w:r>
        <w:rPr>
          <w:rFonts w:cstheme="minorHAnsi"/>
        </w:rPr>
        <w:t>r</w:t>
      </w:r>
      <w:r w:rsidR="0076064D">
        <w:rPr>
          <w:rFonts w:cstheme="minorHAnsi"/>
        </w:rPr>
        <w:t xml:space="preserve"> accommodate</w:t>
      </w:r>
      <w:r>
        <w:rPr>
          <w:rFonts w:cstheme="minorHAnsi"/>
        </w:rPr>
        <w:t>s</w:t>
      </w:r>
      <w:r w:rsidR="0076064D">
        <w:rPr>
          <w:rFonts w:cstheme="minorHAnsi"/>
        </w:rPr>
        <w:t xml:space="preserve"> </w:t>
      </w:r>
      <w:r w:rsidR="00D500FF">
        <w:rPr>
          <w:rFonts w:cstheme="minorHAnsi"/>
        </w:rPr>
        <w:t>many of these strategic priorities</w:t>
      </w:r>
      <w:r>
        <w:rPr>
          <w:rFonts w:cstheme="minorHAnsi"/>
        </w:rPr>
        <w:t>,</w:t>
      </w:r>
      <w:r w:rsidR="00D500FF">
        <w:rPr>
          <w:rFonts w:cstheme="minorHAnsi"/>
        </w:rPr>
        <w:t xml:space="preserve"> problems </w:t>
      </w:r>
      <w:r>
        <w:rPr>
          <w:rFonts w:cstheme="minorHAnsi"/>
        </w:rPr>
        <w:t>remain</w:t>
      </w:r>
      <w:r w:rsidR="00D500FF">
        <w:rPr>
          <w:rFonts w:cstheme="minorHAnsi"/>
        </w:rPr>
        <w:t xml:space="preserve"> in relation to the first four of those strategies</w:t>
      </w:r>
      <w:r>
        <w:rPr>
          <w:rFonts w:cstheme="minorHAnsi"/>
        </w:rPr>
        <w:t>:</w:t>
      </w:r>
      <w:r w:rsidR="00D500FF">
        <w:rPr>
          <w:rFonts w:cstheme="minorHAnsi"/>
        </w:rPr>
        <w:t xml:space="preserve"> </w:t>
      </w:r>
    </w:p>
    <w:p w14:paraId="53B371E7" w14:textId="5AB900DB" w:rsidR="008B2896" w:rsidRDefault="008B2896" w:rsidP="009D3296">
      <w:pPr>
        <w:autoSpaceDE w:val="0"/>
        <w:autoSpaceDN w:val="0"/>
        <w:adjustRightInd w:val="0"/>
        <w:spacing w:after="0" w:line="240" w:lineRule="auto"/>
        <w:ind w:left="720"/>
        <w:rPr>
          <w:rFonts w:cstheme="minorHAnsi"/>
          <w:sz w:val="20"/>
          <w:szCs w:val="20"/>
        </w:rPr>
      </w:pPr>
      <w:r w:rsidRPr="008B2896">
        <w:rPr>
          <w:rFonts w:cstheme="minorHAnsi"/>
          <w:sz w:val="20"/>
          <w:szCs w:val="20"/>
        </w:rPr>
        <w:t>Strengthen the Yarra River’s natural environment, heritage and overall health by:</w:t>
      </w:r>
    </w:p>
    <w:p w14:paraId="0662A602" w14:textId="77777777" w:rsidR="008B2896" w:rsidRPr="008B2896" w:rsidRDefault="008B2896" w:rsidP="009D3296">
      <w:pPr>
        <w:autoSpaceDE w:val="0"/>
        <w:autoSpaceDN w:val="0"/>
        <w:adjustRightInd w:val="0"/>
        <w:spacing w:after="0" w:line="240" w:lineRule="auto"/>
        <w:ind w:left="720"/>
        <w:rPr>
          <w:rFonts w:cstheme="minorHAnsi"/>
          <w:sz w:val="20"/>
          <w:szCs w:val="20"/>
        </w:rPr>
      </w:pPr>
    </w:p>
    <w:p w14:paraId="077A02A1" w14:textId="69DD21A9" w:rsidR="008B2896" w:rsidRPr="009D3296" w:rsidRDefault="008B2896" w:rsidP="009D3296">
      <w:pPr>
        <w:pStyle w:val="ListParagraph"/>
        <w:numPr>
          <w:ilvl w:val="0"/>
          <w:numId w:val="59"/>
        </w:numPr>
        <w:autoSpaceDE w:val="0"/>
        <w:autoSpaceDN w:val="0"/>
        <w:adjustRightInd w:val="0"/>
        <w:spacing w:after="0" w:line="240" w:lineRule="auto"/>
        <w:rPr>
          <w:rFonts w:cstheme="minorHAnsi"/>
          <w:sz w:val="20"/>
          <w:szCs w:val="20"/>
        </w:rPr>
      </w:pPr>
      <w:r w:rsidRPr="009D3296">
        <w:rPr>
          <w:rFonts w:cstheme="minorHAnsi"/>
          <w:sz w:val="20"/>
          <w:szCs w:val="20"/>
        </w:rPr>
        <w:t>Protecting the river’s riparian vegetation, natural riverbank topography and flood management capacity.</w:t>
      </w:r>
    </w:p>
    <w:p w14:paraId="160C6DB3" w14:textId="77777777" w:rsidR="008B2896" w:rsidRPr="008B2896" w:rsidRDefault="008B2896" w:rsidP="009D3296">
      <w:pPr>
        <w:autoSpaceDE w:val="0"/>
        <w:autoSpaceDN w:val="0"/>
        <w:adjustRightInd w:val="0"/>
        <w:spacing w:after="0" w:line="240" w:lineRule="auto"/>
        <w:ind w:left="720"/>
        <w:rPr>
          <w:rFonts w:cstheme="minorHAnsi"/>
          <w:sz w:val="20"/>
          <w:szCs w:val="20"/>
        </w:rPr>
      </w:pPr>
    </w:p>
    <w:p w14:paraId="5D6102F7" w14:textId="609CD23B" w:rsidR="008B2896" w:rsidRPr="009D3296" w:rsidRDefault="008B2896" w:rsidP="009D3296">
      <w:pPr>
        <w:pStyle w:val="ListParagraph"/>
        <w:numPr>
          <w:ilvl w:val="0"/>
          <w:numId w:val="59"/>
        </w:numPr>
        <w:autoSpaceDE w:val="0"/>
        <w:autoSpaceDN w:val="0"/>
        <w:adjustRightInd w:val="0"/>
        <w:spacing w:after="0" w:line="240" w:lineRule="auto"/>
        <w:rPr>
          <w:rFonts w:cstheme="minorHAnsi"/>
          <w:sz w:val="20"/>
          <w:szCs w:val="20"/>
        </w:rPr>
      </w:pPr>
      <w:r w:rsidRPr="009D3296">
        <w:rPr>
          <w:rFonts w:cstheme="minorHAnsi"/>
          <w:sz w:val="20"/>
          <w:szCs w:val="20"/>
        </w:rPr>
        <w:t>Ensuring development does not increase the rate or quantity of stormwater, sediment or other pollutants entering the river.</w:t>
      </w:r>
    </w:p>
    <w:p w14:paraId="2181FD6F" w14:textId="77777777" w:rsidR="008B2896" w:rsidRPr="008B2896" w:rsidRDefault="008B2896" w:rsidP="009D3296">
      <w:pPr>
        <w:autoSpaceDE w:val="0"/>
        <w:autoSpaceDN w:val="0"/>
        <w:adjustRightInd w:val="0"/>
        <w:spacing w:after="0" w:line="240" w:lineRule="auto"/>
        <w:ind w:left="720"/>
        <w:rPr>
          <w:rFonts w:cstheme="minorHAnsi"/>
          <w:sz w:val="20"/>
          <w:szCs w:val="20"/>
        </w:rPr>
      </w:pPr>
    </w:p>
    <w:p w14:paraId="2576C971" w14:textId="7022FB59" w:rsidR="008B2896" w:rsidRDefault="008B2896" w:rsidP="00F92E41">
      <w:pPr>
        <w:pStyle w:val="ListParagraph"/>
        <w:numPr>
          <w:ilvl w:val="0"/>
          <w:numId w:val="59"/>
        </w:numPr>
        <w:autoSpaceDE w:val="0"/>
        <w:autoSpaceDN w:val="0"/>
        <w:adjustRightInd w:val="0"/>
        <w:spacing w:after="0" w:line="240" w:lineRule="auto"/>
        <w:rPr>
          <w:rFonts w:cstheme="minorHAnsi"/>
          <w:sz w:val="20"/>
          <w:szCs w:val="20"/>
        </w:rPr>
      </w:pPr>
      <w:r w:rsidRPr="009D3296">
        <w:rPr>
          <w:rFonts w:cstheme="minorHAnsi"/>
          <w:sz w:val="20"/>
          <w:szCs w:val="20"/>
        </w:rPr>
        <w:t>Protecting and enhancing both terrestrial and aquatic habitats and their linkages along the river corridor.</w:t>
      </w:r>
    </w:p>
    <w:p w14:paraId="7CA1F41A" w14:textId="6B40CF64" w:rsidR="00F92E41" w:rsidRDefault="00F92E41" w:rsidP="00F92E41">
      <w:pPr>
        <w:pStyle w:val="ListParagraph"/>
        <w:rPr>
          <w:rFonts w:cstheme="minorHAnsi"/>
          <w:sz w:val="20"/>
          <w:szCs w:val="20"/>
        </w:rPr>
      </w:pPr>
    </w:p>
    <w:p w14:paraId="30612FC2" w14:textId="37E6C4BE" w:rsidR="00F92E41" w:rsidRDefault="00F92E41" w:rsidP="00F92E41">
      <w:pPr>
        <w:pStyle w:val="ListParagraph"/>
        <w:rPr>
          <w:rFonts w:cstheme="minorHAnsi"/>
          <w:sz w:val="20"/>
          <w:szCs w:val="20"/>
        </w:rPr>
      </w:pPr>
      <w:r>
        <w:rPr>
          <w:rFonts w:cstheme="minorHAnsi"/>
          <w:sz w:val="20"/>
          <w:szCs w:val="20"/>
        </w:rPr>
        <w:t>Promote a sense of place and landscape identity by:</w:t>
      </w:r>
    </w:p>
    <w:p w14:paraId="189177CB" w14:textId="77777777" w:rsidR="00F92E41" w:rsidRPr="009D3296" w:rsidRDefault="00F92E41" w:rsidP="009D3296">
      <w:pPr>
        <w:pStyle w:val="ListParagraph"/>
        <w:rPr>
          <w:rFonts w:cstheme="minorHAnsi"/>
          <w:sz w:val="20"/>
          <w:szCs w:val="20"/>
        </w:rPr>
      </w:pPr>
    </w:p>
    <w:p w14:paraId="09116D7C" w14:textId="7F2AB1F7" w:rsidR="00F92E41" w:rsidRPr="009D3296" w:rsidRDefault="00F92E41" w:rsidP="009D3296">
      <w:pPr>
        <w:pStyle w:val="ListParagraph"/>
        <w:numPr>
          <w:ilvl w:val="0"/>
          <w:numId w:val="59"/>
        </w:numPr>
        <w:autoSpaceDE w:val="0"/>
        <w:autoSpaceDN w:val="0"/>
        <w:adjustRightInd w:val="0"/>
        <w:spacing w:after="0" w:line="240" w:lineRule="auto"/>
        <w:rPr>
          <w:rFonts w:cstheme="minorHAnsi"/>
          <w:sz w:val="20"/>
          <w:szCs w:val="20"/>
        </w:rPr>
      </w:pPr>
      <w:r>
        <w:rPr>
          <w:rFonts w:cstheme="minorHAnsi"/>
          <w:sz w:val="20"/>
          <w:szCs w:val="20"/>
        </w:rPr>
        <w:t>R</w:t>
      </w:r>
      <w:r w:rsidRPr="00F92E41">
        <w:rPr>
          <w:rFonts w:cstheme="minorHAnsi"/>
          <w:sz w:val="20"/>
          <w:szCs w:val="20"/>
        </w:rPr>
        <w:t>etaining a dominant and consistent tree canopy along the river corridor and in its broader landscape setting.</w:t>
      </w:r>
    </w:p>
    <w:p w14:paraId="379D595E" w14:textId="77777777" w:rsidR="004314B1" w:rsidRPr="008B2896" w:rsidRDefault="004314B1" w:rsidP="008B2896">
      <w:pPr>
        <w:autoSpaceDE w:val="0"/>
        <w:autoSpaceDN w:val="0"/>
        <w:adjustRightInd w:val="0"/>
        <w:spacing w:after="0" w:line="240" w:lineRule="auto"/>
        <w:ind w:left="1440"/>
        <w:rPr>
          <w:rFonts w:cstheme="minorHAnsi"/>
          <w:sz w:val="20"/>
          <w:szCs w:val="20"/>
        </w:rPr>
      </w:pPr>
    </w:p>
    <w:p w14:paraId="1E4C35BB" w14:textId="3D4372B1" w:rsidR="004F579B" w:rsidRDefault="005B33FB" w:rsidP="002A379B">
      <w:pPr>
        <w:pStyle w:val="ListParagraph"/>
        <w:numPr>
          <w:ilvl w:val="0"/>
          <w:numId w:val="6"/>
        </w:numPr>
        <w:ind w:left="567" w:hanging="567"/>
      </w:pPr>
      <w:r>
        <w:t>Th</w:t>
      </w:r>
      <w:r w:rsidR="00F92E41">
        <w:t>e strategic</w:t>
      </w:r>
      <w:r>
        <w:t xml:space="preserve"> approach gen</w:t>
      </w:r>
      <w:r w:rsidR="004314B1">
        <w:t>erally accords with</w:t>
      </w:r>
      <w:r w:rsidR="00F92E41">
        <w:t xml:space="preserve"> the</w:t>
      </w:r>
      <w:r w:rsidR="004314B1">
        <w:t xml:space="preserve"> </w:t>
      </w:r>
      <w:r w:rsidR="00F92E41" w:rsidRPr="00B258E6">
        <w:rPr>
          <w:rFonts w:cstheme="minorHAnsi"/>
          <w:i/>
          <w:iCs/>
        </w:rPr>
        <w:t>Yarra River Protection (</w:t>
      </w:r>
      <w:proofErr w:type="spellStart"/>
      <w:r w:rsidR="00F92E41" w:rsidRPr="00B258E6">
        <w:rPr>
          <w:rFonts w:cstheme="minorHAnsi"/>
          <w:i/>
          <w:iCs/>
        </w:rPr>
        <w:t>wilip</w:t>
      </w:r>
      <w:proofErr w:type="spellEnd"/>
      <w:r w:rsidR="00F92E41" w:rsidRPr="00B258E6">
        <w:rPr>
          <w:rFonts w:cstheme="minorHAnsi"/>
          <w:i/>
          <w:iCs/>
        </w:rPr>
        <w:t xml:space="preserve">-gin </w:t>
      </w:r>
      <w:proofErr w:type="spellStart"/>
      <w:r w:rsidR="00F92E41" w:rsidRPr="00B258E6">
        <w:rPr>
          <w:rFonts w:cstheme="minorHAnsi"/>
          <w:i/>
          <w:iCs/>
        </w:rPr>
        <w:t>Birrarung</w:t>
      </w:r>
      <w:proofErr w:type="spellEnd"/>
      <w:r w:rsidR="00F92E41" w:rsidRPr="00B258E6">
        <w:rPr>
          <w:rFonts w:cstheme="minorHAnsi"/>
          <w:i/>
          <w:iCs/>
        </w:rPr>
        <w:t xml:space="preserve"> </w:t>
      </w:r>
      <w:proofErr w:type="spellStart"/>
      <w:r w:rsidR="00F92E41" w:rsidRPr="00B258E6">
        <w:rPr>
          <w:rFonts w:cstheme="minorHAnsi"/>
          <w:i/>
          <w:iCs/>
        </w:rPr>
        <w:t>murron</w:t>
      </w:r>
      <w:proofErr w:type="spellEnd"/>
      <w:r w:rsidR="00F92E41" w:rsidRPr="00B258E6">
        <w:rPr>
          <w:rFonts w:cstheme="minorHAnsi"/>
          <w:i/>
          <w:iCs/>
        </w:rPr>
        <w:t>) Act 2017</w:t>
      </w:r>
      <w:r w:rsidR="00F92E41" w:rsidRPr="006931B7">
        <w:rPr>
          <w:rFonts w:cstheme="minorHAnsi"/>
        </w:rPr>
        <w:t xml:space="preserve"> </w:t>
      </w:r>
      <w:r w:rsidR="004314B1">
        <w:t xml:space="preserve">and </w:t>
      </w:r>
      <w:r w:rsidR="004F579B">
        <w:t>the</w:t>
      </w:r>
      <w:r w:rsidR="004314B1">
        <w:t xml:space="preserve"> </w:t>
      </w:r>
      <w:r w:rsidR="00661CB0">
        <w:t>intention</w:t>
      </w:r>
      <w:r w:rsidR="004314B1">
        <w:t xml:space="preserve"> to achieve a trajectory of improvement in river health.</w:t>
      </w:r>
      <w:r w:rsidR="004905BF">
        <w:t xml:space="preserve"> </w:t>
      </w:r>
    </w:p>
    <w:p w14:paraId="5F93BD40" w14:textId="77777777" w:rsidR="004F579B" w:rsidRDefault="004F579B" w:rsidP="002A379B">
      <w:pPr>
        <w:pStyle w:val="ListParagraph"/>
        <w:ind w:left="567" w:hanging="567"/>
      </w:pPr>
    </w:p>
    <w:p w14:paraId="5D4D856E" w14:textId="3079719C" w:rsidR="004F579B" w:rsidRDefault="004F579B" w:rsidP="002A379B">
      <w:pPr>
        <w:pStyle w:val="ListParagraph"/>
        <w:numPr>
          <w:ilvl w:val="0"/>
          <w:numId w:val="6"/>
        </w:numPr>
        <w:ind w:left="567" w:hanging="567"/>
      </w:pPr>
      <w:r>
        <w:t xml:space="preserve">In any case, in our submission it remains a relevant consideration, to </w:t>
      </w:r>
      <w:r w:rsidR="00082487">
        <w:t>which considerable weight should</w:t>
      </w:r>
      <w:r>
        <w:t xml:space="preserve"> be given, that Parliament has </w:t>
      </w:r>
      <w:r w:rsidR="00724827">
        <w:t>recognised the Yarra River as</w:t>
      </w:r>
      <w:r w:rsidR="00082487">
        <w:t xml:space="preserve"> ‘one living and integrated natural entity’.</w:t>
      </w:r>
      <w:r w:rsidR="002B52E6">
        <w:rPr>
          <w:rStyle w:val="FootnoteReference"/>
        </w:rPr>
        <w:footnoteReference w:id="44"/>
      </w:r>
      <w:r w:rsidR="00082487">
        <w:t xml:space="preserve"> This is an important framing concept for </w:t>
      </w:r>
      <w:r w:rsidR="002B52E6">
        <w:t>management</w:t>
      </w:r>
      <w:r w:rsidR="00082487">
        <w:t xml:space="preserve"> </w:t>
      </w:r>
      <w:r w:rsidR="002B52E6">
        <w:t>of the Yarra River.</w:t>
      </w:r>
    </w:p>
    <w:p w14:paraId="62A85A50" w14:textId="77777777" w:rsidR="004F579B" w:rsidRDefault="004F579B" w:rsidP="002A379B">
      <w:pPr>
        <w:pStyle w:val="ListParagraph"/>
        <w:ind w:left="567" w:hanging="567"/>
      </w:pPr>
    </w:p>
    <w:p w14:paraId="4A6E16B0" w14:textId="5674E495" w:rsidR="00784B38" w:rsidRDefault="00910D23" w:rsidP="002A379B">
      <w:pPr>
        <w:pStyle w:val="ListParagraph"/>
        <w:numPr>
          <w:ilvl w:val="0"/>
          <w:numId w:val="6"/>
        </w:numPr>
        <w:ind w:left="567" w:hanging="567"/>
      </w:pPr>
      <w:r>
        <w:lastRenderedPageBreak/>
        <w:t xml:space="preserve">The </w:t>
      </w:r>
      <w:r w:rsidR="00724827" w:rsidRPr="00873106">
        <w:rPr>
          <w:i/>
        </w:rPr>
        <w:t>State Environment Protection Policy (Waters</w:t>
      </w:r>
      <w:r w:rsidR="00724827">
        <w:rPr>
          <w:i/>
        </w:rPr>
        <w:t>)</w:t>
      </w:r>
      <w:r w:rsidR="00724827" w:rsidRPr="00724827">
        <w:t xml:space="preserve"> </w:t>
      </w:r>
      <w:r w:rsidR="00724827">
        <w:t>(</w:t>
      </w:r>
      <w:r w:rsidR="00724827" w:rsidRPr="00724827">
        <w:rPr>
          <w:b/>
        </w:rPr>
        <w:t>‘</w:t>
      </w:r>
      <w:r w:rsidRPr="00724827">
        <w:rPr>
          <w:b/>
        </w:rPr>
        <w:t>SEPP (Waters)</w:t>
      </w:r>
      <w:r w:rsidR="00724827" w:rsidRPr="00724827">
        <w:rPr>
          <w:b/>
        </w:rPr>
        <w:t>’</w:t>
      </w:r>
      <w:r w:rsidR="00724827">
        <w:t>)</w:t>
      </w:r>
      <w:r>
        <w:t xml:space="preserve"> treats the lower reaches of the Yarra River as within the Central Foothills and Coastal Plains Segment of surface water environments, rather than the urban environment, precisely in order to protect the water quality of this environment</w:t>
      </w:r>
      <w:r w:rsidR="00F74005">
        <w:t>,</w:t>
      </w:r>
      <w:r w:rsidR="00F74005">
        <w:rPr>
          <w:rStyle w:val="FootnoteReference"/>
        </w:rPr>
        <w:footnoteReference w:id="45"/>
      </w:r>
      <w:r w:rsidR="00F74005">
        <w:t xml:space="preserve"> applying higher environmental quality indicators than for the Urban Segment.</w:t>
      </w:r>
      <w:r w:rsidR="006E43D9">
        <w:rPr>
          <w:rStyle w:val="FootnoteReference"/>
        </w:rPr>
        <w:footnoteReference w:id="46"/>
      </w:r>
      <w:r w:rsidR="00F74005">
        <w:t xml:space="preserve"> </w:t>
      </w:r>
      <w:r w:rsidR="00784B38">
        <w:t>In any case, classification of waters under the Urban Segment under the SEPP (Waters), which includes tributaries of the Yarra, is intended to ‘drive urban waterway management plans and waterway stra</w:t>
      </w:r>
      <w:r w:rsidR="00724827">
        <w:t>tegies to improve water quality</w:t>
      </w:r>
      <w:r w:rsidR="00784B38">
        <w:t>’</w:t>
      </w:r>
      <w:r w:rsidR="00724827">
        <w:t>.</w:t>
      </w:r>
      <w:r w:rsidR="00784B38">
        <w:rPr>
          <w:rStyle w:val="FootnoteReference"/>
        </w:rPr>
        <w:footnoteReference w:id="47"/>
      </w:r>
    </w:p>
    <w:p w14:paraId="4C9D26A6" w14:textId="77777777" w:rsidR="00CE257B" w:rsidRDefault="00CE257B" w:rsidP="009D3296">
      <w:pPr>
        <w:pStyle w:val="ListParagraph"/>
        <w:ind w:left="360"/>
      </w:pPr>
    </w:p>
    <w:p w14:paraId="485AB4AF" w14:textId="15E541FC" w:rsidR="004905BF" w:rsidRDefault="00CE257B" w:rsidP="002A379B">
      <w:pPr>
        <w:pStyle w:val="ListParagraph"/>
        <w:numPr>
          <w:ilvl w:val="0"/>
          <w:numId w:val="6"/>
        </w:numPr>
        <w:ind w:left="567" w:hanging="477"/>
      </w:pPr>
      <w:r>
        <w:t>In respect of the main channel of the Yarra River</w:t>
      </w:r>
      <w:r w:rsidR="004905BF">
        <w:t xml:space="preserve">, the </w:t>
      </w:r>
      <w:r>
        <w:t>water experts and ecological experts</w:t>
      </w:r>
      <w:r w:rsidR="004905BF">
        <w:t xml:space="preserve"> provided the following evidence</w:t>
      </w:r>
      <w:r>
        <w:t>:</w:t>
      </w:r>
    </w:p>
    <w:p w14:paraId="6B888A43" w14:textId="77777777" w:rsidR="004905BF" w:rsidRDefault="004905BF" w:rsidP="009D3296">
      <w:pPr>
        <w:pStyle w:val="ListParagraph"/>
        <w:ind w:left="360"/>
      </w:pPr>
    </w:p>
    <w:p w14:paraId="71744474" w14:textId="34134C1C" w:rsidR="004905BF" w:rsidRDefault="00724827" w:rsidP="004905BF">
      <w:pPr>
        <w:pStyle w:val="ListParagraph"/>
        <w:numPr>
          <w:ilvl w:val="1"/>
          <w:numId w:val="6"/>
        </w:numPr>
        <w:ind w:left="900"/>
      </w:pPr>
      <w:r>
        <w:t>t</w:t>
      </w:r>
      <w:r w:rsidR="00CE257B">
        <w:t xml:space="preserve">here will be increased stormwater impacts and flows into the Yarra River, via </w:t>
      </w:r>
      <w:proofErr w:type="spellStart"/>
      <w:r w:rsidR="00CE257B">
        <w:t>Koonung</w:t>
      </w:r>
      <w:proofErr w:type="spellEnd"/>
      <w:r w:rsidR="00CE257B">
        <w:t xml:space="preserve"> Creek, Banyule Creek (drain), and the Plenty River</w:t>
      </w:r>
      <w:r w:rsidR="00830611">
        <w:t>, attributable to increased impervious surfaces associated with the NELP, absent sufficient mitigation measures</w:t>
      </w:r>
      <w:r>
        <w:t>;</w:t>
      </w:r>
    </w:p>
    <w:p w14:paraId="46D4FDE2" w14:textId="77777777" w:rsidR="004905BF" w:rsidRDefault="004905BF" w:rsidP="009D3296">
      <w:pPr>
        <w:pStyle w:val="ListParagraph"/>
        <w:ind w:left="900"/>
      </w:pPr>
    </w:p>
    <w:p w14:paraId="2CE89F52" w14:textId="20E74973" w:rsidR="004905BF" w:rsidRDefault="00724827" w:rsidP="004905BF">
      <w:pPr>
        <w:pStyle w:val="ListParagraph"/>
        <w:numPr>
          <w:ilvl w:val="1"/>
          <w:numId w:val="6"/>
        </w:numPr>
        <w:ind w:left="900"/>
      </w:pPr>
      <w:r>
        <w:t>i</w:t>
      </w:r>
      <w:r w:rsidR="0058230D">
        <w:t>t is not known with any reasonable degree of precision whether these flows can be managed via I</w:t>
      </w:r>
      <w:r w:rsidR="008D2903">
        <w:t>nte</w:t>
      </w:r>
      <w:r w:rsidR="004905BF">
        <w:t xml:space="preserve">grated </w:t>
      </w:r>
      <w:r w:rsidR="0058230D">
        <w:t>W</w:t>
      </w:r>
      <w:r w:rsidR="004905BF">
        <w:t xml:space="preserve">ater </w:t>
      </w:r>
      <w:r w:rsidR="0058230D">
        <w:t>M</w:t>
      </w:r>
      <w:r w:rsidR="004905BF">
        <w:t>anagement (</w:t>
      </w:r>
      <w:r w:rsidR="004905BF" w:rsidRPr="009D3296">
        <w:rPr>
          <w:b/>
          <w:bCs/>
        </w:rPr>
        <w:t>‘IWM’</w:t>
      </w:r>
      <w:r w:rsidR="004905BF">
        <w:t>)</w:t>
      </w:r>
      <w:r w:rsidR="0058230D">
        <w:t xml:space="preserve"> treatments</w:t>
      </w:r>
      <w:r>
        <w:t>; and</w:t>
      </w:r>
    </w:p>
    <w:p w14:paraId="1F19DDAD" w14:textId="77777777" w:rsidR="004905BF" w:rsidRDefault="004905BF" w:rsidP="009D3296">
      <w:pPr>
        <w:pStyle w:val="ListParagraph"/>
        <w:ind w:left="900"/>
      </w:pPr>
    </w:p>
    <w:p w14:paraId="120D99CE" w14:textId="22D775CC" w:rsidR="0058230D" w:rsidRDefault="00724827" w:rsidP="009D3296">
      <w:pPr>
        <w:pStyle w:val="ListParagraph"/>
        <w:numPr>
          <w:ilvl w:val="1"/>
          <w:numId w:val="6"/>
        </w:numPr>
        <w:ind w:left="900"/>
      </w:pPr>
      <w:r>
        <w:t>f</w:t>
      </w:r>
      <w:r w:rsidR="0058230D">
        <w:t xml:space="preserve">lows attributable to the NELP would likely increase contaminant loads in the Yarra River, including </w:t>
      </w:r>
      <w:r w:rsidR="00B941DC">
        <w:t xml:space="preserve">road-based </w:t>
      </w:r>
      <w:r w:rsidR="0058230D">
        <w:t>toxicants</w:t>
      </w:r>
      <w:r w:rsidR="004905BF">
        <w:t>.</w:t>
      </w:r>
    </w:p>
    <w:p w14:paraId="09DBB949" w14:textId="77777777" w:rsidR="00830611" w:rsidRDefault="00830611" w:rsidP="00830611">
      <w:pPr>
        <w:pStyle w:val="ListParagraph"/>
        <w:ind w:left="1440"/>
      </w:pPr>
    </w:p>
    <w:p w14:paraId="53EA802F" w14:textId="1B79D4FF" w:rsidR="00D61FB9" w:rsidRDefault="00283007" w:rsidP="002A379B">
      <w:pPr>
        <w:pStyle w:val="ListParagraph"/>
        <w:numPr>
          <w:ilvl w:val="0"/>
          <w:numId w:val="6"/>
        </w:numPr>
        <w:ind w:left="567" w:hanging="567"/>
      </w:pPr>
      <w:r>
        <w:t xml:space="preserve">These outcomes </w:t>
      </w:r>
      <w:r w:rsidR="004905BF">
        <w:t>are</w:t>
      </w:r>
      <w:r>
        <w:t xml:space="preserve"> inconsistent with planning policy and statutory protections for the Yarra River corridor.</w:t>
      </w:r>
    </w:p>
    <w:p w14:paraId="1141ECD3" w14:textId="77777777" w:rsidR="004905BF" w:rsidRDefault="004905BF" w:rsidP="002A379B">
      <w:pPr>
        <w:pStyle w:val="ListParagraph"/>
        <w:ind w:left="567" w:hanging="567"/>
      </w:pPr>
    </w:p>
    <w:p w14:paraId="08D4757E" w14:textId="0861212A" w:rsidR="00D61FB9" w:rsidRDefault="00441C91" w:rsidP="002A379B">
      <w:pPr>
        <w:pStyle w:val="ListParagraph"/>
        <w:numPr>
          <w:ilvl w:val="0"/>
          <w:numId w:val="6"/>
        </w:numPr>
        <w:ind w:left="567" w:hanging="567"/>
      </w:pPr>
      <w:r>
        <w:t xml:space="preserve">The Yarra River corridor is a high value environmental asset. </w:t>
      </w:r>
      <w:r w:rsidR="00B527C5">
        <w:t xml:space="preserve">Potential water quality impacts from NELP </w:t>
      </w:r>
      <w:r w:rsidR="00CD0C37">
        <w:t xml:space="preserve">present a serious risk with a high degree of uncertainty. A precautionary approach is warranted. </w:t>
      </w:r>
    </w:p>
    <w:p w14:paraId="59AC18B9" w14:textId="77777777" w:rsidR="00D61FB9" w:rsidRDefault="00D61FB9" w:rsidP="002A379B">
      <w:pPr>
        <w:pStyle w:val="ListParagraph"/>
        <w:ind w:left="567" w:hanging="567"/>
      </w:pPr>
    </w:p>
    <w:p w14:paraId="2864EC3C" w14:textId="77777777" w:rsidR="00D61FB9" w:rsidRDefault="00AD547C" w:rsidP="002A379B">
      <w:pPr>
        <w:pStyle w:val="ListParagraph"/>
        <w:numPr>
          <w:ilvl w:val="0"/>
          <w:numId w:val="6"/>
        </w:numPr>
        <w:ind w:left="567" w:hanging="567"/>
      </w:pPr>
      <w:r>
        <w:t xml:space="preserve">What precaution requires is, in our submission, a far greater degree of certainty that adverse water quality and in-stream ecological impacts </w:t>
      </w:r>
      <w:r w:rsidR="00090401">
        <w:t xml:space="preserve">on the Yarra River </w:t>
      </w:r>
      <w:r>
        <w:t xml:space="preserve">from NELP can be managed, including by way of IWM techniques. </w:t>
      </w:r>
    </w:p>
    <w:p w14:paraId="42C780D4" w14:textId="77777777" w:rsidR="00D61FB9" w:rsidRDefault="00D61FB9" w:rsidP="002A379B">
      <w:pPr>
        <w:pStyle w:val="ListParagraph"/>
        <w:ind w:left="567" w:hanging="567"/>
      </w:pPr>
    </w:p>
    <w:p w14:paraId="0AD9C603" w14:textId="1938226B" w:rsidR="00C7776E" w:rsidRDefault="00BB639F" w:rsidP="002A379B">
      <w:pPr>
        <w:pStyle w:val="ListParagraph"/>
        <w:numPr>
          <w:ilvl w:val="0"/>
          <w:numId w:val="6"/>
        </w:numPr>
        <w:ind w:left="567" w:hanging="567"/>
      </w:pPr>
      <w:r>
        <w:t xml:space="preserve">One response to this </w:t>
      </w:r>
      <w:r w:rsidR="00D71EAC">
        <w:t xml:space="preserve">unacceptable degree of uncertainty is a finding that, based on </w:t>
      </w:r>
      <w:r w:rsidR="004905BF">
        <w:t xml:space="preserve">more </w:t>
      </w:r>
      <w:r w:rsidR="00D71EAC">
        <w:t>ful</w:t>
      </w:r>
      <w:r w:rsidR="004905BF">
        <w:t>some</w:t>
      </w:r>
      <w:r w:rsidR="00D71EAC">
        <w:t xml:space="preserve"> and robust investigations</w:t>
      </w:r>
      <w:r w:rsidR="00CE5302">
        <w:t>,</w:t>
      </w:r>
      <w:r w:rsidR="00724827">
        <w:t xml:space="preserve"> a Supplementary S</w:t>
      </w:r>
      <w:r w:rsidR="00D71EAC">
        <w:t xml:space="preserve">tatement is </w:t>
      </w:r>
      <w:r w:rsidR="00141BF5">
        <w:t>to be prepared.</w:t>
      </w:r>
      <w:r w:rsidR="00141BF5">
        <w:rPr>
          <w:rStyle w:val="FootnoteReference"/>
        </w:rPr>
        <w:footnoteReference w:id="48"/>
      </w:r>
    </w:p>
    <w:p w14:paraId="1A342EC7" w14:textId="77777777" w:rsidR="00305578" w:rsidRDefault="00305578" w:rsidP="009D3296"/>
    <w:p w14:paraId="7D92D565" w14:textId="48EAF952" w:rsidR="00C7776E" w:rsidRDefault="00C7776E" w:rsidP="00C7776E">
      <w:pPr>
        <w:pStyle w:val="Heading3"/>
      </w:pPr>
      <w:bookmarkStart w:id="16" w:name="_Toc18573010"/>
      <w:bookmarkStart w:id="17" w:name="_Toc18592023"/>
      <w:r w:rsidRPr="008E1259">
        <w:t xml:space="preserve">Bolin </w:t>
      </w:r>
      <w:proofErr w:type="spellStart"/>
      <w:r w:rsidRPr="008E1259">
        <w:t>Bolin</w:t>
      </w:r>
      <w:proofErr w:type="spellEnd"/>
      <w:r w:rsidRPr="008E1259">
        <w:t xml:space="preserve"> Billabong</w:t>
      </w:r>
      <w:bookmarkEnd w:id="16"/>
      <w:bookmarkEnd w:id="17"/>
    </w:p>
    <w:p w14:paraId="2E6C79F0" w14:textId="77777777" w:rsidR="00C7776E" w:rsidRDefault="00C7776E" w:rsidP="00C7776E">
      <w:pPr>
        <w:pStyle w:val="ListParagraph"/>
      </w:pPr>
    </w:p>
    <w:p w14:paraId="72C9AA58" w14:textId="184DBFCE" w:rsidR="00C7776E" w:rsidRDefault="00E636FB" w:rsidP="00915E7E">
      <w:pPr>
        <w:pStyle w:val="ListParagraph"/>
        <w:numPr>
          <w:ilvl w:val="0"/>
          <w:numId w:val="6"/>
        </w:numPr>
        <w:ind w:left="567" w:hanging="567"/>
      </w:pPr>
      <w:r>
        <w:t xml:space="preserve">Bolin </w:t>
      </w:r>
      <w:proofErr w:type="spellStart"/>
      <w:r>
        <w:t>Bolin</w:t>
      </w:r>
      <w:proofErr w:type="spellEnd"/>
      <w:r>
        <w:t xml:space="preserve"> Billabong is a high value groundwater-dependent wetland on the Yarra River flo</w:t>
      </w:r>
      <w:r w:rsidR="008E6934">
        <w:t>odplain.</w:t>
      </w:r>
      <w:r>
        <w:t xml:space="preserve"> The evidence of groundwater and</w:t>
      </w:r>
      <w:r w:rsidR="00724827">
        <w:t xml:space="preserve"> ecological experts before the IAC</w:t>
      </w:r>
      <w:r>
        <w:t xml:space="preserve"> was consistent </w:t>
      </w:r>
      <w:r w:rsidR="008E6934">
        <w:t xml:space="preserve">on these facts. </w:t>
      </w:r>
    </w:p>
    <w:p w14:paraId="2FCE90E3" w14:textId="77777777" w:rsidR="00C7776E" w:rsidRDefault="00C7776E" w:rsidP="00915E7E">
      <w:pPr>
        <w:pStyle w:val="ListParagraph"/>
        <w:ind w:left="567" w:hanging="567"/>
      </w:pPr>
    </w:p>
    <w:p w14:paraId="116EFD0C" w14:textId="31CC86F3" w:rsidR="00C7776E" w:rsidRDefault="009D3102" w:rsidP="00915E7E">
      <w:pPr>
        <w:pStyle w:val="ListParagraph"/>
        <w:numPr>
          <w:ilvl w:val="0"/>
          <w:numId w:val="6"/>
        </w:numPr>
        <w:ind w:left="567" w:hanging="567"/>
      </w:pPr>
      <w:r>
        <w:t xml:space="preserve">Water-dependent ecosystems and species are a beneficial use protected under </w:t>
      </w:r>
      <w:r w:rsidRPr="00724827">
        <w:t>SEPP (Waters).</w:t>
      </w:r>
      <w:r>
        <w:rPr>
          <w:rStyle w:val="FootnoteReference"/>
        </w:rPr>
        <w:footnoteReference w:id="49"/>
      </w:r>
      <w:r>
        <w:t xml:space="preserve"> The </w:t>
      </w:r>
      <w:r w:rsidRPr="00724827">
        <w:t>SEPP (Waters)</w:t>
      </w:r>
      <w:r>
        <w:t xml:space="preserve"> protects that beneficial use.</w:t>
      </w:r>
      <w:r>
        <w:rPr>
          <w:rStyle w:val="FootnoteReference"/>
        </w:rPr>
        <w:footnoteReference w:id="50"/>
      </w:r>
      <w:r>
        <w:t xml:space="preserve"> </w:t>
      </w:r>
      <w:r w:rsidR="008E6934">
        <w:t xml:space="preserve">The evidence showed that </w:t>
      </w:r>
      <w:r w:rsidR="00724827">
        <w:t xml:space="preserve">Bolin </w:t>
      </w:r>
      <w:proofErr w:type="spellStart"/>
      <w:r w:rsidR="00724827">
        <w:t>Bolin</w:t>
      </w:r>
      <w:proofErr w:type="spellEnd"/>
      <w:r w:rsidR="00724827">
        <w:t xml:space="preserve"> Billabong</w:t>
      </w:r>
      <w:r w:rsidR="008E6934">
        <w:t xml:space="preserve"> is </w:t>
      </w:r>
      <w:r w:rsidR="00C614B0">
        <w:t xml:space="preserve">groundwater-dependent in respect of the so-called ‘deep pool’ at the eastern end of the Billabong and subject to surface flows in the two ‘arms’ of the Billabong. </w:t>
      </w:r>
    </w:p>
    <w:p w14:paraId="69EE799E" w14:textId="77777777" w:rsidR="00C7776E" w:rsidRDefault="00C7776E" w:rsidP="00915E7E">
      <w:pPr>
        <w:pStyle w:val="ListParagraph"/>
        <w:ind w:left="567" w:hanging="567"/>
      </w:pPr>
    </w:p>
    <w:p w14:paraId="29DC5D14" w14:textId="77777777" w:rsidR="00C7776E" w:rsidRDefault="00C614B0" w:rsidP="00915E7E">
      <w:pPr>
        <w:pStyle w:val="ListParagraph"/>
        <w:numPr>
          <w:ilvl w:val="0"/>
          <w:numId w:val="6"/>
        </w:numPr>
        <w:ind w:left="567" w:hanging="567"/>
      </w:pPr>
      <w:r>
        <w:t xml:space="preserve">The deep pool is an ecological </w:t>
      </w:r>
      <w:r w:rsidR="00F7148D">
        <w:t xml:space="preserve">hydrological </w:t>
      </w:r>
      <w:r>
        <w:t xml:space="preserve">refuge. </w:t>
      </w:r>
      <w:r w:rsidR="009D3102">
        <w:t xml:space="preserve">This is particularly significant in the context of the historic lack of natural flooding regimes for the Billabong as a consequence of water diversions in the Yarra River. </w:t>
      </w:r>
    </w:p>
    <w:p w14:paraId="05EB86B9" w14:textId="77777777" w:rsidR="00C7776E" w:rsidRDefault="00C7776E" w:rsidP="009D3296">
      <w:pPr>
        <w:pStyle w:val="ListParagraph"/>
        <w:ind w:left="360"/>
      </w:pPr>
    </w:p>
    <w:p w14:paraId="328E8DA7" w14:textId="77777777" w:rsidR="00C7776E" w:rsidRDefault="00F7148D" w:rsidP="00915E7E">
      <w:pPr>
        <w:pStyle w:val="ListParagraph"/>
        <w:numPr>
          <w:ilvl w:val="0"/>
          <w:numId w:val="6"/>
        </w:numPr>
        <w:ind w:left="567" w:hanging="567"/>
      </w:pPr>
      <w:r>
        <w:t>The Billabong is an important example of Yarra floodplain wetlands in a relatively natural state</w:t>
      </w:r>
      <w:r w:rsidR="00530956">
        <w:t xml:space="preserve">. </w:t>
      </w:r>
    </w:p>
    <w:p w14:paraId="21DD09C6" w14:textId="77777777" w:rsidR="00C7776E" w:rsidRDefault="00C7776E" w:rsidP="00915E7E">
      <w:pPr>
        <w:pStyle w:val="ListParagraph"/>
        <w:ind w:left="567" w:hanging="567"/>
      </w:pPr>
    </w:p>
    <w:p w14:paraId="401200FD" w14:textId="77777777" w:rsidR="00C7776E" w:rsidRDefault="009D3102" w:rsidP="00915E7E">
      <w:pPr>
        <w:pStyle w:val="ListParagraph"/>
        <w:numPr>
          <w:ilvl w:val="0"/>
          <w:numId w:val="6"/>
        </w:numPr>
        <w:ind w:left="567" w:hanging="567"/>
      </w:pPr>
      <w:r>
        <w:t xml:space="preserve">The Billabong is also of high cultural significance to the </w:t>
      </w:r>
      <w:proofErr w:type="spellStart"/>
      <w:r>
        <w:t>Wurundjeri</w:t>
      </w:r>
      <w:proofErr w:type="spellEnd"/>
      <w:r>
        <w:t xml:space="preserve"> Traditional Owners.</w:t>
      </w:r>
      <w:r w:rsidR="00530956">
        <w:rPr>
          <w:rStyle w:val="FootnoteReference"/>
        </w:rPr>
        <w:footnoteReference w:id="51"/>
      </w:r>
      <w:r>
        <w:t xml:space="preserve"> </w:t>
      </w:r>
    </w:p>
    <w:p w14:paraId="0DBCBFDB" w14:textId="77777777" w:rsidR="00C7776E" w:rsidRDefault="00C7776E" w:rsidP="00915E7E">
      <w:pPr>
        <w:pStyle w:val="ListParagraph"/>
        <w:ind w:left="567" w:hanging="567"/>
      </w:pPr>
    </w:p>
    <w:p w14:paraId="4832B842" w14:textId="77777777" w:rsidR="00C7776E" w:rsidRDefault="00EE465C" w:rsidP="00915E7E">
      <w:pPr>
        <w:pStyle w:val="ListParagraph"/>
        <w:numPr>
          <w:ilvl w:val="0"/>
          <w:numId w:val="6"/>
        </w:numPr>
        <w:ind w:left="567" w:hanging="567"/>
      </w:pPr>
      <w:r>
        <w:t xml:space="preserve">Wetland performance objectives of the </w:t>
      </w:r>
      <w:r w:rsidRPr="005E2640">
        <w:rPr>
          <w:i/>
        </w:rPr>
        <w:t>Healthy Waters Strategy</w:t>
      </w:r>
      <w:r>
        <w:t xml:space="preserve"> for the Yarra catchment include investigating opportunities to re-engage natural floodplain wetlands and </w:t>
      </w:r>
      <w:r w:rsidR="00AA503F">
        <w:t>delivering environmental water to key billabongs on the Yarra floodplain.</w:t>
      </w:r>
      <w:r w:rsidR="00AA503F">
        <w:rPr>
          <w:rStyle w:val="FootnoteReference"/>
        </w:rPr>
        <w:footnoteReference w:id="52"/>
      </w:r>
    </w:p>
    <w:p w14:paraId="5CD39B5C" w14:textId="77777777" w:rsidR="00C7776E" w:rsidRDefault="00C7776E" w:rsidP="00915E7E">
      <w:pPr>
        <w:pStyle w:val="ListParagraph"/>
        <w:ind w:left="567" w:hanging="567"/>
      </w:pPr>
    </w:p>
    <w:p w14:paraId="75D7A634" w14:textId="0922AB18" w:rsidR="00C7776E" w:rsidRDefault="009D3102" w:rsidP="00915E7E">
      <w:pPr>
        <w:pStyle w:val="ListParagraph"/>
        <w:numPr>
          <w:ilvl w:val="0"/>
          <w:numId w:val="6"/>
        </w:numPr>
        <w:ind w:left="567" w:hanging="567"/>
      </w:pPr>
      <w:r>
        <w:t xml:space="preserve">An environmental watering project has occurred for the Billabong. The evidence was that there may be an environmental watering program for the Billabong but this is not </w:t>
      </w:r>
      <w:r w:rsidR="00775780">
        <w:t xml:space="preserve">yet </w:t>
      </w:r>
      <w:r w:rsidR="00651764">
        <w:t xml:space="preserve">agreed or approved. </w:t>
      </w:r>
    </w:p>
    <w:p w14:paraId="6D100FF3" w14:textId="77777777" w:rsidR="00C7776E" w:rsidRDefault="00C7776E" w:rsidP="009D3296">
      <w:pPr>
        <w:pStyle w:val="ListParagraph"/>
        <w:ind w:left="360"/>
      </w:pPr>
    </w:p>
    <w:p w14:paraId="63B5B78D" w14:textId="6B168638" w:rsidR="00C7776E" w:rsidRDefault="006268B6" w:rsidP="00915E7E">
      <w:pPr>
        <w:pStyle w:val="ListParagraph"/>
        <w:numPr>
          <w:ilvl w:val="0"/>
          <w:numId w:val="6"/>
        </w:numPr>
        <w:ind w:left="567" w:hanging="567"/>
      </w:pPr>
      <w:r>
        <w:t xml:space="preserve">An environmental watering program for the Billabong will require statutory approvals under the </w:t>
      </w:r>
      <w:r w:rsidRPr="009D3296">
        <w:rPr>
          <w:i/>
        </w:rPr>
        <w:t>Water Act</w:t>
      </w:r>
      <w:r w:rsidR="00775780" w:rsidRPr="009D3296">
        <w:rPr>
          <w:i/>
        </w:rPr>
        <w:t xml:space="preserve"> 1989</w:t>
      </w:r>
      <w:r>
        <w:t xml:space="preserve"> if</w:t>
      </w:r>
      <w:r w:rsidR="005E2640">
        <w:t>,</w:t>
      </w:r>
      <w:r>
        <w:t xml:space="preserve"> for example</w:t>
      </w:r>
      <w:r w:rsidR="005E2640">
        <w:t>,</w:t>
      </w:r>
      <w:r>
        <w:t xml:space="preserve"> a ‘take and use’ licence is required to divert water from the Yarra River for this purpose. </w:t>
      </w:r>
    </w:p>
    <w:p w14:paraId="4D4F7875" w14:textId="77777777" w:rsidR="00C7776E" w:rsidRDefault="00C7776E" w:rsidP="009D3296">
      <w:pPr>
        <w:pStyle w:val="ListParagraph"/>
        <w:ind w:left="360"/>
      </w:pPr>
    </w:p>
    <w:p w14:paraId="22C12375" w14:textId="01EC2ADC" w:rsidR="00C7776E" w:rsidRDefault="00B07F98" w:rsidP="00915E7E">
      <w:pPr>
        <w:pStyle w:val="ListParagraph"/>
        <w:numPr>
          <w:ilvl w:val="0"/>
          <w:numId w:val="6"/>
        </w:numPr>
        <w:ind w:left="567" w:hanging="567"/>
      </w:pPr>
      <w:r>
        <w:t xml:space="preserve">Any decision to establish an environmental watering program through such diversion is subject to </w:t>
      </w:r>
      <w:r w:rsidR="00764369">
        <w:t>the considerations under subsection 40(1) of the</w:t>
      </w:r>
      <w:r w:rsidR="00764369" w:rsidRPr="0017103C">
        <w:rPr>
          <w:i/>
          <w:iCs/>
        </w:rPr>
        <w:t xml:space="preserve"> Water Act</w:t>
      </w:r>
      <w:r w:rsidR="0017103C" w:rsidRPr="0017103C">
        <w:rPr>
          <w:i/>
          <w:iCs/>
        </w:rPr>
        <w:t xml:space="preserve"> 1989</w:t>
      </w:r>
      <w:r w:rsidR="00764369">
        <w:rPr>
          <w:rStyle w:val="FootnoteReference"/>
        </w:rPr>
        <w:footnoteReference w:id="53"/>
      </w:r>
      <w:r w:rsidR="00764369">
        <w:t xml:space="preserve"> and ultimately that such management of water resources in sustainable.</w:t>
      </w:r>
      <w:r w:rsidR="00C30B57">
        <w:rPr>
          <w:rStyle w:val="FootnoteReference"/>
        </w:rPr>
        <w:footnoteReference w:id="54"/>
      </w:r>
    </w:p>
    <w:p w14:paraId="6679F4A0" w14:textId="77777777" w:rsidR="00C7776E" w:rsidRDefault="00C7776E" w:rsidP="009D3296">
      <w:pPr>
        <w:pStyle w:val="ListParagraph"/>
        <w:ind w:left="360"/>
      </w:pPr>
    </w:p>
    <w:p w14:paraId="2F0781AF" w14:textId="58F8B99C" w:rsidR="00C7776E" w:rsidRDefault="00B92A0D" w:rsidP="00915E7E">
      <w:pPr>
        <w:pStyle w:val="ListParagraph"/>
        <w:numPr>
          <w:ilvl w:val="0"/>
          <w:numId w:val="6"/>
        </w:numPr>
        <w:ind w:left="567" w:hanging="567"/>
      </w:pPr>
      <w:r>
        <w:t xml:space="preserve">A considerable amount of evidence was led on </w:t>
      </w:r>
      <w:r w:rsidR="002205C7">
        <w:t>the question of groundwater</w:t>
      </w:r>
      <w:r w:rsidR="004D288E">
        <w:t xml:space="preserve"> drawdown</w:t>
      </w:r>
      <w:r w:rsidR="002205C7">
        <w:t xml:space="preserve"> impacts of tunnelling under the Yarra floodplain and </w:t>
      </w:r>
      <w:r w:rsidR="004D288E">
        <w:t xml:space="preserve">effects on </w:t>
      </w:r>
      <w:r w:rsidR="00326278">
        <w:t xml:space="preserve">the hydrology and ecology </w:t>
      </w:r>
      <w:r w:rsidR="00775780">
        <w:t xml:space="preserve">of </w:t>
      </w:r>
      <w:r w:rsidR="004D288E">
        <w:t xml:space="preserve">Bolin </w:t>
      </w:r>
      <w:proofErr w:type="spellStart"/>
      <w:r w:rsidR="004D288E">
        <w:t>B</w:t>
      </w:r>
      <w:r w:rsidR="00326278">
        <w:t>olin</w:t>
      </w:r>
      <w:proofErr w:type="spellEnd"/>
      <w:r w:rsidR="00326278">
        <w:t xml:space="preserve"> Billabong, including from Mr </w:t>
      </w:r>
      <w:proofErr w:type="spellStart"/>
      <w:r w:rsidR="00326278">
        <w:t>Mid</w:t>
      </w:r>
      <w:r w:rsidR="00D11364">
        <w:t>dlemas</w:t>
      </w:r>
      <w:proofErr w:type="spellEnd"/>
      <w:r w:rsidR="00D11364">
        <w:t xml:space="preserve">, Mr </w:t>
      </w:r>
      <w:proofErr w:type="spellStart"/>
      <w:r w:rsidR="00D11364">
        <w:t>Smitt</w:t>
      </w:r>
      <w:proofErr w:type="spellEnd"/>
      <w:r w:rsidR="00D11364">
        <w:t>, Mr Lane and Dr</w:t>
      </w:r>
      <w:r w:rsidR="00326278">
        <w:t xml:space="preserve"> Lorimer.</w:t>
      </w:r>
      <w:r w:rsidR="004D288E">
        <w:t xml:space="preserve"> </w:t>
      </w:r>
      <w:r w:rsidR="00775780">
        <w:t>Their</w:t>
      </w:r>
      <w:r w:rsidR="002461D5">
        <w:t xml:space="preserve"> evidence can fairly be summarised as follows:</w:t>
      </w:r>
    </w:p>
    <w:p w14:paraId="2FC68711" w14:textId="77777777" w:rsidR="00C7776E" w:rsidRDefault="00C7776E" w:rsidP="00C7776E">
      <w:pPr>
        <w:pStyle w:val="ListParagraph"/>
        <w:ind w:left="1080"/>
      </w:pPr>
    </w:p>
    <w:p w14:paraId="6898D8ED" w14:textId="58F5714F" w:rsidR="00C7776E" w:rsidRDefault="00775780" w:rsidP="00C7776E">
      <w:pPr>
        <w:pStyle w:val="ListParagraph"/>
        <w:numPr>
          <w:ilvl w:val="0"/>
          <w:numId w:val="43"/>
        </w:numPr>
        <w:ind w:left="1080"/>
      </w:pPr>
      <w:r>
        <w:t>g</w:t>
      </w:r>
      <w:r w:rsidR="00C7776E">
        <w:t>roundwater observations data has been collected for the NELP, with a focus of data points along the proposed alignment of the tunnel</w:t>
      </w:r>
      <w:r>
        <w:t>;</w:t>
      </w:r>
    </w:p>
    <w:p w14:paraId="4AC6F7E1" w14:textId="77777777" w:rsidR="00C7776E" w:rsidRDefault="00C7776E" w:rsidP="00C7776E">
      <w:pPr>
        <w:pStyle w:val="ListParagraph"/>
        <w:ind w:left="1440"/>
      </w:pPr>
    </w:p>
    <w:p w14:paraId="4E204F46" w14:textId="5B08C328" w:rsidR="00C7776E" w:rsidRDefault="00775780" w:rsidP="00C7776E">
      <w:pPr>
        <w:pStyle w:val="ListParagraph"/>
        <w:numPr>
          <w:ilvl w:val="0"/>
          <w:numId w:val="43"/>
        </w:numPr>
        <w:ind w:left="1080"/>
      </w:pPr>
      <w:r>
        <w:t>g</w:t>
      </w:r>
      <w:r w:rsidR="00C7776E">
        <w:t>roundwater modelling has been undertaken and refined</w:t>
      </w:r>
      <w:r>
        <w:t>;</w:t>
      </w:r>
    </w:p>
    <w:p w14:paraId="488E16C8" w14:textId="77777777" w:rsidR="00C7776E" w:rsidRDefault="00C7776E" w:rsidP="00C7776E">
      <w:pPr>
        <w:pStyle w:val="ListParagraph"/>
        <w:ind w:left="1080"/>
      </w:pPr>
    </w:p>
    <w:p w14:paraId="0E0CD525" w14:textId="7A33BF1A" w:rsidR="00C7776E" w:rsidRDefault="00775780" w:rsidP="00C7776E">
      <w:pPr>
        <w:pStyle w:val="ListParagraph"/>
        <w:numPr>
          <w:ilvl w:val="0"/>
          <w:numId w:val="43"/>
        </w:numPr>
        <w:ind w:left="1080"/>
      </w:pPr>
      <w:r>
        <w:lastRenderedPageBreak/>
        <w:t>t</w:t>
      </w:r>
      <w:r w:rsidR="00C7776E">
        <w:t>he groundwater model is fit for purpose to inform geotechnical considerations of this large infrastructure project</w:t>
      </w:r>
      <w:r>
        <w:t>;</w:t>
      </w:r>
    </w:p>
    <w:p w14:paraId="1D59A1CB" w14:textId="77777777" w:rsidR="00C7776E" w:rsidRDefault="00C7776E" w:rsidP="00C7776E">
      <w:pPr>
        <w:pStyle w:val="ListParagraph"/>
        <w:ind w:left="1080"/>
      </w:pPr>
    </w:p>
    <w:p w14:paraId="12A0A8D0" w14:textId="19863E81" w:rsidR="00C7776E" w:rsidRDefault="00775780" w:rsidP="00C7776E">
      <w:pPr>
        <w:pStyle w:val="ListParagraph"/>
        <w:numPr>
          <w:ilvl w:val="0"/>
          <w:numId w:val="43"/>
        </w:numPr>
        <w:ind w:left="1080"/>
      </w:pPr>
      <w:r>
        <w:t>t</w:t>
      </w:r>
      <w:r w:rsidR="00C7776E">
        <w:t>he groundwater model is not designed for or suitable for the purpose of assessing impacts of the NELP on ‘sensitive environmental receptors’, including the Billabong</w:t>
      </w:r>
      <w:r>
        <w:t>;</w:t>
      </w:r>
      <w:r w:rsidR="00C7776E">
        <w:rPr>
          <w:rStyle w:val="FootnoteReference"/>
        </w:rPr>
        <w:footnoteReference w:id="55"/>
      </w:r>
      <w:r w:rsidR="00C7776E">
        <w:t xml:space="preserve"> </w:t>
      </w:r>
    </w:p>
    <w:p w14:paraId="3878F2A7" w14:textId="77777777" w:rsidR="00C7776E" w:rsidRDefault="00C7776E" w:rsidP="00C7776E">
      <w:pPr>
        <w:pStyle w:val="ListParagraph"/>
        <w:ind w:left="1080"/>
      </w:pPr>
    </w:p>
    <w:p w14:paraId="1301C843" w14:textId="23665FBF" w:rsidR="00C7776E" w:rsidRDefault="00775780" w:rsidP="00C7776E">
      <w:pPr>
        <w:pStyle w:val="ListParagraph"/>
        <w:numPr>
          <w:ilvl w:val="0"/>
          <w:numId w:val="43"/>
        </w:numPr>
        <w:ind w:left="1080"/>
      </w:pPr>
      <w:r>
        <w:t>t</w:t>
      </w:r>
      <w:r w:rsidR="00C7776E">
        <w:t xml:space="preserve">he degree of uncertainty in the groundwater models is likely significant and, given the particular sensitivity of wetlands and </w:t>
      </w:r>
      <w:r>
        <w:t>groundwater dependent ecosystems (</w:t>
      </w:r>
      <w:r w:rsidRPr="009D3296">
        <w:rPr>
          <w:b/>
        </w:rPr>
        <w:t>‘</w:t>
      </w:r>
      <w:r w:rsidR="00C7776E" w:rsidRPr="009D3296">
        <w:rPr>
          <w:b/>
        </w:rPr>
        <w:t>GDEs</w:t>
      </w:r>
      <w:r w:rsidRPr="009D3296">
        <w:rPr>
          <w:b/>
        </w:rPr>
        <w:t>’</w:t>
      </w:r>
      <w:r>
        <w:t>)</w:t>
      </w:r>
      <w:r w:rsidR="00C7776E">
        <w:t xml:space="preserve"> to groundwater drawdown, the risks to those assets is more acute than stated in the EES</w:t>
      </w:r>
      <w:r>
        <w:t>;</w:t>
      </w:r>
      <w:r w:rsidR="00C7776E">
        <w:rPr>
          <w:rStyle w:val="FootnoteReference"/>
        </w:rPr>
        <w:footnoteReference w:id="56"/>
      </w:r>
    </w:p>
    <w:p w14:paraId="466C72C7" w14:textId="77777777" w:rsidR="00C7776E" w:rsidRDefault="00C7776E" w:rsidP="00C7776E">
      <w:pPr>
        <w:pStyle w:val="ListParagraph"/>
        <w:ind w:left="1080"/>
      </w:pPr>
    </w:p>
    <w:p w14:paraId="497C1E39" w14:textId="60BCF8F5" w:rsidR="00C7776E" w:rsidRDefault="00775780" w:rsidP="00C7776E">
      <w:pPr>
        <w:pStyle w:val="ListParagraph"/>
        <w:numPr>
          <w:ilvl w:val="0"/>
          <w:numId w:val="43"/>
        </w:numPr>
        <w:ind w:left="1080"/>
      </w:pPr>
      <w:r>
        <w:t>t</w:t>
      </w:r>
      <w:r w:rsidR="00C7776E">
        <w:t>here will be groundwater drawdown affecting the permanent deep pool at the Billabong</w:t>
      </w:r>
      <w:r>
        <w:t>,</w:t>
      </w:r>
      <w:r w:rsidR="00C7776E">
        <w:t xml:space="preserve"> but the precise extent, nature and degree of impact on the hydrology and ecology of the Billabong is not known</w:t>
      </w:r>
      <w:r>
        <w:t>;</w:t>
      </w:r>
      <w:r w:rsidR="00C7776E">
        <w:t xml:space="preserve"> </w:t>
      </w:r>
    </w:p>
    <w:p w14:paraId="39A05A0F" w14:textId="77777777" w:rsidR="00C7776E" w:rsidRDefault="00C7776E" w:rsidP="00C7776E">
      <w:pPr>
        <w:pStyle w:val="ListParagraph"/>
        <w:ind w:left="1080"/>
      </w:pPr>
    </w:p>
    <w:p w14:paraId="57ABB3C2" w14:textId="59BFB8B7" w:rsidR="00C7776E" w:rsidRDefault="00775780" w:rsidP="00C7776E">
      <w:pPr>
        <w:pStyle w:val="ListParagraph"/>
        <w:numPr>
          <w:ilvl w:val="0"/>
          <w:numId w:val="43"/>
        </w:numPr>
        <w:ind w:left="1080"/>
      </w:pPr>
      <w:r>
        <w:t>d</w:t>
      </w:r>
      <w:r w:rsidR="00C7776E">
        <w:t>rawdown impacts on the Billabong will occur at the construction stage and over the life of operation of the NELP. For all intents and purposes</w:t>
      </w:r>
      <w:r>
        <w:t>,</w:t>
      </w:r>
      <w:r w:rsidR="00C7776E">
        <w:t xml:space="preserve"> that means an indefinite impact</w:t>
      </w:r>
      <w:r>
        <w:t>;</w:t>
      </w:r>
      <w:r w:rsidR="00C7776E">
        <w:t xml:space="preserve"> </w:t>
      </w:r>
    </w:p>
    <w:p w14:paraId="711C1029" w14:textId="77777777" w:rsidR="00C7776E" w:rsidRDefault="00C7776E" w:rsidP="00C7776E">
      <w:pPr>
        <w:pStyle w:val="ListParagraph"/>
        <w:ind w:left="1080"/>
      </w:pPr>
    </w:p>
    <w:p w14:paraId="5CA4EA4E" w14:textId="3CD46917" w:rsidR="00C7776E" w:rsidRDefault="00775780" w:rsidP="00C7776E">
      <w:pPr>
        <w:pStyle w:val="ListParagraph"/>
        <w:numPr>
          <w:ilvl w:val="0"/>
          <w:numId w:val="43"/>
        </w:numPr>
        <w:ind w:left="1080"/>
      </w:pPr>
      <w:r>
        <w:t>t</w:t>
      </w:r>
      <w:r w:rsidR="00C7776E">
        <w:t>here is at least an equal chance that climate change will lead to long-term wetting or drying scenarios affecting the Billabong</w:t>
      </w:r>
      <w:r>
        <w:t>;</w:t>
      </w:r>
      <w:r w:rsidR="00C7776E">
        <w:rPr>
          <w:rStyle w:val="FootnoteReference"/>
        </w:rPr>
        <w:footnoteReference w:id="57"/>
      </w:r>
      <w:r w:rsidR="00C7776E">
        <w:t xml:space="preserve"> </w:t>
      </w:r>
    </w:p>
    <w:p w14:paraId="3DBDA474" w14:textId="77777777" w:rsidR="00C7776E" w:rsidRDefault="00C7776E" w:rsidP="00C7776E">
      <w:pPr>
        <w:pStyle w:val="ListParagraph"/>
        <w:ind w:left="1080"/>
      </w:pPr>
    </w:p>
    <w:p w14:paraId="4E06D0DE" w14:textId="27590366" w:rsidR="00C7776E" w:rsidRDefault="005E2640" w:rsidP="00C7776E">
      <w:pPr>
        <w:pStyle w:val="ListParagraph"/>
        <w:numPr>
          <w:ilvl w:val="0"/>
          <w:numId w:val="43"/>
        </w:numPr>
        <w:ind w:left="1080"/>
      </w:pPr>
      <w:r>
        <w:t>i</w:t>
      </w:r>
      <w:r w:rsidR="00C7776E">
        <w:t>nteractions between groundwater drawdown, GDEs and climate change are</w:t>
      </w:r>
      <w:r w:rsidR="00775780">
        <w:t xml:space="preserve"> </w:t>
      </w:r>
      <w:r w:rsidR="00C7776E">
        <w:t>understated or inadequately dealt with in the EES.</w:t>
      </w:r>
      <w:r w:rsidR="00C7776E">
        <w:rPr>
          <w:rStyle w:val="FootnoteReference"/>
        </w:rPr>
        <w:footnoteReference w:id="58"/>
      </w:r>
      <w:r w:rsidR="00C7776E">
        <w:t xml:space="preserve"> The more prudent approach would be for a risk assessment for climate change and groundwater drawn impacts, under wetting and drying cycles, on GDEs for ‘best case’, ‘worst case’ and ‘most likely’ scenarios.</w:t>
      </w:r>
      <w:r w:rsidR="00C7776E">
        <w:rPr>
          <w:rStyle w:val="FootnoteReference"/>
        </w:rPr>
        <w:footnoteReference w:id="59"/>
      </w:r>
    </w:p>
    <w:p w14:paraId="421CE4BD" w14:textId="77777777" w:rsidR="00C7776E" w:rsidRDefault="00C7776E" w:rsidP="00C7776E">
      <w:pPr>
        <w:pStyle w:val="ListParagraph"/>
      </w:pPr>
    </w:p>
    <w:p w14:paraId="124270D9" w14:textId="15385525" w:rsidR="00C77EC8" w:rsidRDefault="000D48A9" w:rsidP="00633548">
      <w:pPr>
        <w:pStyle w:val="ListParagraph"/>
        <w:numPr>
          <w:ilvl w:val="0"/>
          <w:numId w:val="6"/>
        </w:numPr>
        <w:ind w:left="567" w:hanging="567"/>
      </w:pPr>
      <w:r>
        <w:t xml:space="preserve">In our submission, </w:t>
      </w:r>
      <w:r w:rsidR="00DB520F">
        <w:t xml:space="preserve">the problem of the NELP in relation to Bolin </w:t>
      </w:r>
      <w:proofErr w:type="spellStart"/>
      <w:r w:rsidR="00DB520F">
        <w:t>Bolin</w:t>
      </w:r>
      <w:proofErr w:type="spellEnd"/>
      <w:r w:rsidR="00DB520F">
        <w:t xml:space="preserve"> Billabong is two-fold</w:t>
      </w:r>
      <w:r w:rsidR="00C77EC8">
        <w:t>:</w:t>
      </w:r>
      <w:r w:rsidR="00E57DD2">
        <w:t xml:space="preserve"> </w:t>
      </w:r>
    </w:p>
    <w:p w14:paraId="2E361117" w14:textId="77777777" w:rsidR="00C77EC8" w:rsidRDefault="00C77EC8" w:rsidP="009D3296">
      <w:pPr>
        <w:pStyle w:val="ListParagraph"/>
        <w:ind w:left="360"/>
      </w:pPr>
    </w:p>
    <w:p w14:paraId="11C14335" w14:textId="3E229706" w:rsidR="00C7776E" w:rsidRDefault="005E2640" w:rsidP="00633548">
      <w:pPr>
        <w:pStyle w:val="ListParagraph"/>
        <w:numPr>
          <w:ilvl w:val="1"/>
          <w:numId w:val="6"/>
        </w:numPr>
        <w:ind w:left="1134"/>
      </w:pPr>
      <w:r>
        <w:t>t</w:t>
      </w:r>
      <w:r w:rsidR="00E57DD2">
        <w:t>here is not sufficient or appropriately targeted information on hydrogeological impacts to make a properly informed assess</w:t>
      </w:r>
      <w:r w:rsidR="00C77EC8">
        <w:t>ment</w:t>
      </w:r>
      <w:r w:rsidR="00E57DD2">
        <w:t>, as</w:t>
      </w:r>
      <w:r w:rsidR="00E5600F">
        <w:t>suming a precautionary approach</w:t>
      </w:r>
      <w:r w:rsidR="00C77EC8">
        <w:t>; and</w:t>
      </w:r>
      <w:r w:rsidR="00E5600F">
        <w:t xml:space="preserve"> </w:t>
      </w:r>
    </w:p>
    <w:p w14:paraId="3E3C0A6B" w14:textId="77777777" w:rsidR="00C7776E" w:rsidRDefault="00C7776E" w:rsidP="00633548">
      <w:pPr>
        <w:pStyle w:val="ListParagraph"/>
        <w:ind w:left="1134"/>
      </w:pPr>
    </w:p>
    <w:p w14:paraId="2F02C125" w14:textId="5EBC7864" w:rsidR="00C7776E" w:rsidRDefault="005E2640" w:rsidP="00633548">
      <w:pPr>
        <w:pStyle w:val="ListParagraph"/>
        <w:numPr>
          <w:ilvl w:val="1"/>
          <w:numId w:val="6"/>
        </w:numPr>
        <w:ind w:left="1134"/>
      </w:pPr>
      <w:r>
        <w:t>i</w:t>
      </w:r>
      <w:r w:rsidR="00E57DD2">
        <w:t>f</w:t>
      </w:r>
      <w:r w:rsidR="00C77EC8">
        <w:t xml:space="preserve"> </w:t>
      </w:r>
      <w:r w:rsidR="00E57DD2">
        <w:t>the response is an environmental watering regime for the Billabong</w:t>
      </w:r>
      <w:r>
        <w:t>,</w:t>
      </w:r>
      <w:r w:rsidR="00E57DD2">
        <w:t xml:space="preserve"> </w:t>
      </w:r>
      <w:r w:rsidR="007F7274">
        <w:t>the eco</w:t>
      </w:r>
      <w:r w:rsidR="00C77EC8">
        <w:t>-</w:t>
      </w:r>
      <w:r w:rsidR="007F7274">
        <w:t>hydrological and governance parameter</w:t>
      </w:r>
      <w:r w:rsidR="00056DDD">
        <w:t xml:space="preserve">s for that regime are not known. </w:t>
      </w:r>
      <w:r w:rsidR="000B3C82">
        <w:t>For example, who will undertake it</w:t>
      </w:r>
      <w:r w:rsidR="00C77EC8">
        <w:t>?</w:t>
      </w:r>
      <w:r w:rsidR="000B3C82">
        <w:t xml:space="preserve"> </w:t>
      </w:r>
      <w:r w:rsidR="00C77EC8">
        <w:t>W</w:t>
      </w:r>
      <w:r w:rsidR="00201AA1">
        <w:t>ho will be the relevant ‘water-holder’</w:t>
      </w:r>
      <w:r w:rsidR="00C77EC8">
        <w:t>?</w:t>
      </w:r>
      <w:r w:rsidR="00201AA1">
        <w:t xml:space="preserve"> </w:t>
      </w:r>
      <w:r w:rsidR="00C77EC8">
        <w:t>W</w:t>
      </w:r>
      <w:r w:rsidR="00201AA1">
        <w:t>ill there be the long-term water resources to deliver environmental water needs</w:t>
      </w:r>
      <w:r w:rsidR="00C77EC8">
        <w:t>?</w:t>
      </w:r>
      <w:r w:rsidR="00201AA1">
        <w:t xml:space="preserve"> </w:t>
      </w:r>
      <w:r w:rsidR="00C77EC8">
        <w:t>W</w:t>
      </w:r>
      <w:r w:rsidR="00201AA1">
        <w:t xml:space="preserve">ill this or can this regime be secured for the life of the NELP? </w:t>
      </w:r>
    </w:p>
    <w:p w14:paraId="17B87386" w14:textId="77777777" w:rsidR="00C7776E" w:rsidRDefault="00C7776E" w:rsidP="009D3296">
      <w:pPr>
        <w:pStyle w:val="ListParagraph"/>
        <w:ind w:left="360"/>
      </w:pPr>
    </w:p>
    <w:p w14:paraId="519AA669" w14:textId="06ADF2AD" w:rsidR="00C7776E" w:rsidRDefault="000D73B3" w:rsidP="009D3296">
      <w:pPr>
        <w:pStyle w:val="ListParagraph"/>
        <w:numPr>
          <w:ilvl w:val="0"/>
          <w:numId w:val="6"/>
        </w:numPr>
        <w:ind w:hanging="720"/>
      </w:pPr>
      <w:r>
        <w:lastRenderedPageBreak/>
        <w:t xml:space="preserve">It is open to the </w:t>
      </w:r>
      <w:r w:rsidR="00C77EC8">
        <w:t xml:space="preserve">IAC </w:t>
      </w:r>
      <w:r>
        <w:t xml:space="preserve">to make these findings. We submit that they are appropriate findings. We </w:t>
      </w:r>
      <w:r w:rsidR="00C77EC8">
        <w:t xml:space="preserve">also </w:t>
      </w:r>
      <w:r>
        <w:t xml:space="preserve">submit that </w:t>
      </w:r>
      <w:r w:rsidR="00D05357">
        <w:t xml:space="preserve">they are matters on which further investigations need to be undertaken and </w:t>
      </w:r>
      <w:r w:rsidR="00C77EC8">
        <w:t xml:space="preserve">should be </w:t>
      </w:r>
      <w:r w:rsidR="00D05357">
        <w:t xml:space="preserve">the subject of a </w:t>
      </w:r>
      <w:r w:rsidR="00371503">
        <w:t xml:space="preserve">Supplementary Statement. </w:t>
      </w:r>
      <w:r w:rsidR="00C77EC8">
        <w:t>Alternatively,</w:t>
      </w:r>
      <w:r w:rsidR="00371503">
        <w:t xml:space="preserve"> they should contribute to a finding that the NELP will have unacceptable environmental effects</w:t>
      </w:r>
      <w:r w:rsidR="00A8652F">
        <w:t xml:space="preserve"> on the </w:t>
      </w:r>
      <w:r w:rsidR="00C77EC8">
        <w:t xml:space="preserve">Bolin </w:t>
      </w:r>
      <w:proofErr w:type="spellStart"/>
      <w:r w:rsidR="00C77EC8">
        <w:t>Bolin</w:t>
      </w:r>
      <w:proofErr w:type="spellEnd"/>
      <w:r w:rsidR="00C77EC8">
        <w:t xml:space="preserve"> </w:t>
      </w:r>
      <w:r w:rsidR="00A8652F">
        <w:t>Billabong</w:t>
      </w:r>
      <w:r w:rsidR="00371503">
        <w:t>.</w:t>
      </w:r>
    </w:p>
    <w:p w14:paraId="2C159D87" w14:textId="77777777" w:rsidR="00A50BD9" w:rsidRDefault="00A50BD9" w:rsidP="009D3296">
      <w:pPr>
        <w:pStyle w:val="ListParagraph"/>
      </w:pPr>
    </w:p>
    <w:p w14:paraId="101E14B6" w14:textId="77777777" w:rsidR="00C7776E" w:rsidRPr="00D61FB9" w:rsidRDefault="00C7776E" w:rsidP="009D3296">
      <w:pPr>
        <w:pStyle w:val="Heading2"/>
      </w:pPr>
      <w:bookmarkStart w:id="18" w:name="_Toc18573011"/>
      <w:bookmarkStart w:id="19" w:name="_Toc18592024"/>
      <w:r>
        <w:t xml:space="preserve">Impacts on tributaries, including </w:t>
      </w:r>
      <w:proofErr w:type="spellStart"/>
      <w:r>
        <w:t>Koonung</w:t>
      </w:r>
      <w:proofErr w:type="spellEnd"/>
      <w:r>
        <w:t xml:space="preserve"> Creek reserve and Banyule Creek</w:t>
      </w:r>
      <w:bookmarkEnd w:id="18"/>
      <w:bookmarkEnd w:id="19"/>
    </w:p>
    <w:p w14:paraId="34EEE868" w14:textId="479EB8A9" w:rsidR="00C7776E" w:rsidRDefault="00C7776E" w:rsidP="009D3296">
      <w:pPr>
        <w:pStyle w:val="Heading3"/>
      </w:pPr>
      <w:bookmarkStart w:id="20" w:name="_Toc18573012"/>
      <w:bookmarkStart w:id="21" w:name="_Toc18592025"/>
      <w:proofErr w:type="spellStart"/>
      <w:r w:rsidRPr="00A8652F">
        <w:t>Koonung</w:t>
      </w:r>
      <w:proofErr w:type="spellEnd"/>
      <w:r w:rsidRPr="00A8652F">
        <w:t xml:space="preserve"> Creek</w:t>
      </w:r>
      <w:bookmarkEnd w:id="20"/>
      <w:bookmarkEnd w:id="21"/>
    </w:p>
    <w:p w14:paraId="0DC7F723" w14:textId="01620E8F" w:rsidR="00C7776E" w:rsidRDefault="00900239" w:rsidP="009D3296">
      <w:pPr>
        <w:pStyle w:val="ListParagraph"/>
        <w:numPr>
          <w:ilvl w:val="0"/>
          <w:numId w:val="6"/>
        </w:numPr>
        <w:ind w:hanging="720"/>
      </w:pPr>
      <w:proofErr w:type="spellStart"/>
      <w:r>
        <w:t>Koonung</w:t>
      </w:r>
      <w:proofErr w:type="spellEnd"/>
      <w:r>
        <w:t xml:space="preserve"> Creek is a modified urban stream that is a tributary of the Yarra River. It has been heavily impacted by the earlier construction of the Eastern Freeway along the </w:t>
      </w:r>
      <w:proofErr w:type="spellStart"/>
      <w:r>
        <w:t>Koonung</w:t>
      </w:r>
      <w:proofErr w:type="spellEnd"/>
      <w:r>
        <w:t xml:space="preserve"> Creek valley. </w:t>
      </w:r>
      <w:r w:rsidR="00237844">
        <w:t xml:space="preserve">Nevertheless, both the EES and evidence before the </w:t>
      </w:r>
      <w:r w:rsidR="00325286">
        <w:t xml:space="preserve">IAC </w:t>
      </w:r>
      <w:r w:rsidR="00237844">
        <w:t xml:space="preserve">confirms that </w:t>
      </w:r>
      <w:proofErr w:type="spellStart"/>
      <w:r w:rsidR="00237844">
        <w:t>Koonung</w:t>
      </w:r>
      <w:proofErr w:type="spellEnd"/>
      <w:r w:rsidR="00237844">
        <w:t xml:space="preserve"> Creek contains important ecological, social and amenity values and it is a landscape that has p</w:t>
      </w:r>
      <w:r w:rsidR="00107A72">
        <w:t xml:space="preserve">roved remarkably resilient. </w:t>
      </w:r>
    </w:p>
    <w:p w14:paraId="4B60B07D" w14:textId="77777777" w:rsidR="00C7776E" w:rsidRDefault="00C7776E" w:rsidP="009D3296">
      <w:pPr>
        <w:pStyle w:val="ListParagraph"/>
        <w:ind w:hanging="720"/>
      </w:pPr>
    </w:p>
    <w:p w14:paraId="183E1A6C" w14:textId="29D54091" w:rsidR="00C7776E" w:rsidRDefault="00107A72" w:rsidP="009D3296">
      <w:pPr>
        <w:pStyle w:val="ListParagraph"/>
        <w:numPr>
          <w:ilvl w:val="0"/>
          <w:numId w:val="6"/>
        </w:numPr>
        <w:ind w:hanging="720"/>
      </w:pPr>
      <w:r>
        <w:t>For example, as a result of combined retention of native vegetation and revegetation works</w:t>
      </w:r>
      <w:r w:rsidR="00004032">
        <w:t>,</w:t>
      </w:r>
      <w:r>
        <w:t xml:space="preserve"> the </w:t>
      </w:r>
      <w:proofErr w:type="spellStart"/>
      <w:r>
        <w:t>Koonung</w:t>
      </w:r>
      <w:proofErr w:type="spellEnd"/>
      <w:r>
        <w:t xml:space="preserve"> Creek res</w:t>
      </w:r>
      <w:r w:rsidR="00004032">
        <w:t>erve contains extensive stand</w:t>
      </w:r>
      <w:r>
        <w:t>s of native vegetation representative</w:t>
      </w:r>
      <w:r w:rsidR="00325286">
        <w:t xml:space="preserve"> of</w:t>
      </w:r>
      <w:r>
        <w:t xml:space="preserve"> Endangered and Vulnerable Ecological Vegetation Classes (EVCs), such a</w:t>
      </w:r>
      <w:r w:rsidR="00004032">
        <w:t>s</w:t>
      </w:r>
      <w:r>
        <w:t xml:space="preserve"> Swampy Riparian Woodland. These are </w:t>
      </w:r>
      <w:r w:rsidR="00C7720C">
        <w:t xml:space="preserve">generally </w:t>
      </w:r>
      <w:r w:rsidR="00325286">
        <w:t>i</w:t>
      </w:r>
      <w:r w:rsidR="00C7720C">
        <w:t>n a moderate condition, as confirmed by Mr Lane in cross-examination.</w:t>
      </w:r>
    </w:p>
    <w:p w14:paraId="218858E9" w14:textId="77777777" w:rsidR="00C7776E" w:rsidRDefault="00C7776E" w:rsidP="009D3296">
      <w:pPr>
        <w:pStyle w:val="ListParagraph"/>
        <w:ind w:hanging="720"/>
      </w:pPr>
    </w:p>
    <w:p w14:paraId="40C3D558" w14:textId="25FDC116" w:rsidR="00C7776E" w:rsidRDefault="00004032" w:rsidP="009D3296">
      <w:pPr>
        <w:pStyle w:val="ListParagraph"/>
        <w:numPr>
          <w:ilvl w:val="0"/>
          <w:numId w:val="6"/>
        </w:numPr>
        <w:ind w:hanging="720"/>
      </w:pPr>
      <w:r>
        <w:t xml:space="preserve">The </w:t>
      </w:r>
      <w:proofErr w:type="spellStart"/>
      <w:r>
        <w:t>Koonung</w:t>
      </w:r>
      <w:proofErr w:type="spellEnd"/>
      <w:r>
        <w:t xml:space="preserve"> Creek valley is habitat for rare or threatened species such as the Powerful Owl. </w:t>
      </w:r>
      <w:r w:rsidR="00325286">
        <w:t>E</w:t>
      </w:r>
      <w:r>
        <w:t xml:space="preserve">vidence before the </w:t>
      </w:r>
      <w:r w:rsidR="00325286">
        <w:t xml:space="preserve">IAC confirms </w:t>
      </w:r>
      <w:r>
        <w:t>that this species use</w:t>
      </w:r>
      <w:r w:rsidR="00325286">
        <w:t>s</w:t>
      </w:r>
      <w:r>
        <w:t xml:space="preserve"> this corridor as habitat.</w:t>
      </w:r>
      <w:r w:rsidR="00325286">
        <w:rPr>
          <w:rStyle w:val="FootnoteReference"/>
        </w:rPr>
        <w:footnoteReference w:id="60"/>
      </w:r>
      <w:r>
        <w:t xml:space="preserve"> </w:t>
      </w:r>
    </w:p>
    <w:p w14:paraId="135BA06E" w14:textId="77777777" w:rsidR="00C7776E" w:rsidRDefault="00C7776E" w:rsidP="009D3296">
      <w:pPr>
        <w:pStyle w:val="ListParagraph"/>
        <w:ind w:left="0"/>
      </w:pPr>
    </w:p>
    <w:p w14:paraId="1AEB0A7A" w14:textId="3DB67B8C" w:rsidR="00C7776E" w:rsidRDefault="00004032" w:rsidP="009D3296">
      <w:pPr>
        <w:pStyle w:val="ListParagraph"/>
        <w:numPr>
          <w:ilvl w:val="0"/>
          <w:numId w:val="6"/>
        </w:numPr>
        <w:ind w:hanging="720"/>
      </w:pPr>
      <w:r>
        <w:t xml:space="preserve">The important biodiversity values of the </w:t>
      </w:r>
      <w:proofErr w:type="spellStart"/>
      <w:r>
        <w:t>Koonung</w:t>
      </w:r>
      <w:proofErr w:type="spellEnd"/>
      <w:r>
        <w:t xml:space="preserve"> Creek corridor are recognised in its status as a regionally important </w:t>
      </w:r>
      <w:proofErr w:type="spellStart"/>
      <w:r>
        <w:t>biosite</w:t>
      </w:r>
      <w:proofErr w:type="spellEnd"/>
      <w:r>
        <w:t xml:space="preserve"> and in the current application of E</w:t>
      </w:r>
      <w:r w:rsidR="002F5DC9">
        <w:t xml:space="preserve">nvironmental </w:t>
      </w:r>
      <w:r>
        <w:t>S</w:t>
      </w:r>
      <w:r w:rsidR="002F5DC9">
        <w:t xml:space="preserve">ignificance </w:t>
      </w:r>
      <w:r>
        <w:t>O</w:t>
      </w:r>
      <w:r w:rsidR="002F5DC9">
        <w:t>verlays (</w:t>
      </w:r>
      <w:r w:rsidR="002F5DC9" w:rsidRPr="009D3296">
        <w:rPr>
          <w:b/>
        </w:rPr>
        <w:t>‘ESO’</w:t>
      </w:r>
      <w:r w:rsidR="002F5DC9">
        <w:t>)</w:t>
      </w:r>
      <w:r>
        <w:t xml:space="preserve"> and S</w:t>
      </w:r>
      <w:r w:rsidR="002F5DC9">
        <w:t xml:space="preserve">ignificant Landscape </w:t>
      </w:r>
      <w:r>
        <w:t>O</w:t>
      </w:r>
      <w:r w:rsidR="002F5DC9">
        <w:t>verlay</w:t>
      </w:r>
      <w:r>
        <w:t>s</w:t>
      </w:r>
      <w:r w:rsidR="002F5DC9">
        <w:t xml:space="preserve"> (</w:t>
      </w:r>
      <w:r w:rsidR="002F5DC9" w:rsidRPr="009D3296">
        <w:rPr>
          <w:b/>
        </w:rPr>
        <w:t>‘SLO’</w:t>
      </w:r>
      <w:r w:rsidR="002F5DC9">
        <w:t>)</w:t>
      </w:r>
      <w:r>
        <w:t xml:space="preserve"> along the Creek corridor</w:t>
      </w:r>
      <w:r w:rsidR="002F5DC9">
        <w:t>,</w:t>
      </w:r>
      <w:r>
        <w:t xml:space="preserve"> both on the </w:t>
      </w:r>
      <w:r w:rsidR="00C22316">
        <w:t xml:space="preserve">Whitehorse City Council and Manningham City Council sides of the creek valley. </w:t>
      </w:r>
    </w:p>
    <w:p w14:paraId="45FD9840" w14:textId="77777777" w:rsidR="00C7776E" w:rsidRDefault="00C7776E" w:rsidP="009D3296">
      <w:pPr>
        <w:pStyle w:val="ListParagraph"/>
        <w:ind w:hanging="720"/>
      </w:pPr>
    </w:p>
    <w:p w14:paraId="7B336D0B" w14:textId="1CAE87F9" w:rsidR="00C7776E" w:rsidRDefault="002F5DC9" w:rsidP="009D3296">
      <w:pPr>
        <w:pStyle w:val="ListParagraph"/>
        <w:numPr>
          <w:ilvl w:val="0"/>
          <w:numId w:val="6"/>
        </w:numPr>
        <w:ind w:hanging="720"/>
      </w:pPr>
      <w:r>
        <w:t>Given the above,</w:t>
      </w:r>
      <w:r w:rsidR="009A6275">
        <w:t xml:space="preserve"> we submit that the </w:t>
      </w:r>
      <w:proofErr w:type="spellStart"/>
      <w:r w:rsidR="009A6275">
        <w:t>Koonung</w:t>
      </w:r>
      <w:proofErr w:type="spellEnd"/>
      <w:r w:rsidR="009A6275">
        <w:t xml:space="preserve"> Creek is an ‘important area of biodiversity’ for the purposes of VPP, cl 12.01-1S. </w:t>
      </w:r>
    </w:p>
    <w:p w14:paraId="7EEB298A" w14:textId="77777777" w:rsidR="00C7776E" w:rsidRDefault="00C7776E" w:rsidP="009D3296">
      <w:pPr>
        <w:pStyle w:val="ListParagraph"/>
        <w:ind w:hanging="720"/>
      </w:pPr>
    </w:p>
    <w:p w14:paraId="34863449" w14:textId="3F39B0B7" w:rsidR="00C7776E" w:rsidRDefault="00430789" w:rsidP="009D3296">
      <w:pPr>
        <w:pStyle w:val="ListParagraph"/>
        <w:numPr>
          <w:ilvl w:val="0"/>
          <w:numId w:val="6"/>
        </w:numPr>
        <w:ind w:hanging="720"/>
      </w:pPr>
      <w:r>
        <w:t xml:space="preserve">The </w:t>
      </w:r>
      <w:proofErr w:type="spellStart"/>
      <w:r>
        <w:t>Koonung</w:t>
      </w:r>
      <w:proofErr w:type="spellEnd"/>
      <w:r>
        <w:t xml:space="preserve"> Creek reserve is an example of the broad suite of ‘ecosystem services’ provid</w:t>
      </w:r>
      <w:r w:rsidR="002F5DC9">
        <w:t>ed</w:t>
      </w:r>
      <w:r>
        <w:t xml:space="preserve"> by ‘naturalistic’ waterway corridors in the urban setting. Those ‘services’ includ</w:t>
      </w:r>
      <w:r w:rsidR="002F5DC9">
        <w:t>e</w:t>
      </w:r>
      <w:r>
        <w:t xml:space="preserve"> biodiversity, amenity, health, social and climate change resilience values. The importance of these val</w:t>
      </w:r>
      <w:r w:rsidR="005D1893">
        <w:t xml:space="preserve">ues is referred to in </w:t>
      </w:r>
      <w:r w:rsidR="002F5DC9">
        <w:t xml:space="preserve">the evidence of </w:t>
      </w:r>
      <w:r w:rsidR="005D1893">
        <w:t>Professor</w:t>
      </w:r>
      <w:r>
        <w:t xml:space="preserve"> Bekessy and Dr Lorimer</w:t>
      </w:r>
      <w:r w:rsidR="002F5DC9">
        <w:t>.</w:t>
      </w:r>
      <w:r>
        <w:t xml:space="preserve"> </w:t>
      </w:r>
    </w:p>
    <w:p w14:paraId="1B909D5A" w14:textId="77777777" w:rsidR="00C7776E" w:rsidRDefault="00C7776E" w:rsidP="009D3296">
      <w:pPr>
        <w:pStyle w:val="ListParagraph"/>
        <w:ind w:hanging="720"/>
      </w:pPr>
    </w:p>
    <w:p w14:paraId="284EE11E" w14:textId="0CDD3D97" w:rsidR="00C7776E" w:rsidRDefault="005D1893" w:rsidP="009D3296">
      <w:pPr>
        <w:pStyle w:val="ListParagraph"/>
        <w:numPr>
          <w:ilvl w:val="0"/>
          <w:numId w:val="6"/>
        </w:numPr>
        <w:ind w:hanging="720"/>
      </w:pPr>
      <w:r>
        <w:t xml:space="preserve">Adverse impact of the NELP on </w:t>
      </w:r>
      <w:proofErr w:type="spellStart"/>
      <w:r>
        <w:t>Koonung</w:t>
      </w:r>
      <w:proofErr w:type="spellEnd"/>
      <w:r>
        <w:t xml:space="preserve"> Creek will be substantial and irreversible. According to the EES and the expert ecological evidence</w:t>
      </w:r>
      <w:r w:rsidR="00844F59">
        <w:t>,</w:t>
      </w:r>
      <w:r>
        <w:t xml:space="preserve"> impacts include:</w:t>
      </w:r>
    </w:p>
    <w:p w14:paraId="6E370CF0" w14:textId="77777777" w:rsidR="00C7776E" w:rsidRDefault="00C7776E" w:rsidP="00C7776E">
      <w:pPr>
        <w:pStyle w:val="ListParagraph"/>
        <w:ind w:left="1080"/>
      </w:pPr>
    </w:p>
    <w:p w14:paraId="4EC5714C" w14:textId="45D97725" w:rsidR="00C7776E" w:rsidRDefault="00844F59" w:rsidP="006B5716">
      <w:pPr>
        <w:pStyle w:val="ListParagraph"/>
        <w:numPr>
          <w:ilvl w:val="1"/>
          <w:numId w:val="6"/>
        </w:numPr>
      </w:pPr>
      <w:r>
        <w:t>c</w:t>
      </w:r>
      <w:r w:rsidR="00C7776E">
        <w:t>overing or undergrounding of an approximately 1.5 kilometres of the creek</w:t>
      </w:r>
      <w:r>
        <w:t>; and</w:t>
      </w:r>
    </w:p>
    <w:p w14:paraId="2E5FB961" w14:textId="77777777" w:rsidR="00844F59" w:rsidRDefault="00844F59" w:rsidP="009D3296">
      <w:pPr>
        <w:pStyle w:val="ListParagraph"/>
        <w:ind w:left="1080"/>
      </w:pPr>
    </w:p>
    <w:p w14:paraId="07984BCD" w14:textId="3544723D" w:rsidR="00C7776E" w:rsidRDefault="00844F59" w:rsidP="006B5716">
      <w:pPr>
        <w:pStyle w:val="ListParagraph"/>
        <w:numPr>
          <w:ilvl w:val="1"/>
          <w:numId w:val="6"/>
        </w:numPr>
      </w:pPr>
      <w:r>
        <w:t>r</w:t>
      </w:r>
      <w:r w:rsidR="00C7776E">
        <w:t>emoval or disturbance of significant areas of native vegetation</w:t>
      </w:r>
      <w:r>
        <w:t>.</w:t>
      </w:r>
    </w:p>
    <w:p w14:paraId="751F0926" w14:textId="77777777" w:rsidR="00C7776E" w:rsidRDefault="00C7776E" w:rsidP="00C7776E">
      <w:pPr>
        <w:pStyle w:val="ListParagraph"/>
      </w:pPr>
    </w:p>
    <w:p w14:paraId="62BFC779" w14:textId="68021469" w:rsidR="00C7776E" w:rsidRDefault="005D1893" w:rsidP="009D3296">
      <w:pPr>
        <w:pStyle w:val="ListParagraph"/>
        <w:numPr>
          <w:ilvl w:val="0"/>
          <w:numId w:val="6"/>
        </w:numPr>
        <w:ind w:hanging="720"/>
      </w:pPr>
      <w:r>
        <w:lastRenderedPageBreak/>
        <w:t xml:space="preserve">These impacts </w:t>
      </w:r>
      <w:r w:rsidR="00844F59">
        <w:t xml:space="preserve">will </w:t>
      </w:r>
      <w:r>
        <w:t xml:space="preserve">result from the widening of the Eastern Freeway to accommodate purportedly greater traffic volumes and </w:t>
      </w:r>
      <w:r w:rsidR="00844F59">
        <w:t xml:space="preserve">the </w:t>
      </w:r>
      <w:r>
        <w:t xml:space="preserve">establishment of construction areas. </w:t>
      </w:r>
    </w:p>
    <w:p w14:paraId="26B6CB93" w14:textId="77777777" w:rsidR="00C7776E" w:rsidRDefault="00C7776E" w:rsidP="009D3296">
      <w:pPr>
        <w:pStyle w:val="ListParagraph"/>
        <w:ind w:hanging="720"/>
      </w:pPr>
    </w:p>
    <w:p w14:paraId="4BCFF7BE" w14:textId="3DE0DF13" w:rsidR="00C7776E" w:rsidRDefault="008A5726" w:rsidP="009D3296">
      <w:pPr>
        <w:pStyle w:val="ListParagraph"/>
        <w:numPr>
          <w:ilvl w:val="0"/>
          <w:numId w:val="6"/>
        </w:numPr>
        <w:ind w:hanging="720"/>
      </w:pPr>
      <w:r>
        <w:t xml:space="preserve">The Surface Water evidence also </w:t>
      </w:r>
      <w:r w:rsidR="00E47B3D">
        <w:t>confirms</w:t>
      </w:r>
      <w:r w:rsidR="00B26A22">
        <w:t xml:space="preserve"> that </w:t>
      </w:r>
      <w:proofErr w:type="spellStart"/>
      <w:r w:rsidR="00E47B3D">
        <w:t>Koonung</w:t>
      </w:r>
      <w:proofErr w:type="spellEnd"/>
      <w:r w:rsidR="00E47B3D">
        <w:t xml:space="preserve"> Creek </w:t>
      </w:r>
      <w:r w:rsidR="00844F59">
        <w:t>will</w:t>
      </w:r>
      <w:r w:rsidR="00E47B3D">
        <w:t xml:space="preserve"> receiv</w:t>
      </w:r>
      <w:r w:rsidR="00844F59">
        <w:t>e</w:t>
      </w:r>
      <w:r w:rsidR="00E47B3D">
        <w:t xml:space="preserve"> waters </w:t>
      </w:r>
      <w:r w:rsidR="00844F59">
        <w:t>with</w:t>
      </w:r>
      <w:r w:rsidR="00E47B3D">
        <w:t xml:space="preserve"> increased pollutant loads from an expanded Eastern Freeway. </w:t>
      </w:r>
    </w:p>
    <w:p w14:paraId="046000FB" w14:textId="77777777" w:rsidR="00C7776E" w:rsidRDefault="00C7776E" w:rsidP="009D3296">
      <w:pPr>
        <w:pStyle w:val="ListParagraph"/>
        <w:ind w:hanging="720"/>
      </w:pPr>
    </w:p>
    <w:p w14:paraId="472D1B44" w14:textId="16F2BD7A" w:rsidR="008D1762" w:rsidRDefault="00E22EE7" w:rsidP="009D3296">
      <w:pPr>
        <w:pStyle w:val="ListParagraph"/>
        <w:numPr>
          <w:ilvl w:val="0"/>
          <w:numId w:val="6"/>
        </w:numPr>
        <w:ind w:hanging="720"/>
      </w:pPr>
      <w:r>
        <w:t xml:space="preserve">There is no clear evidence that IWM assets could adequately manage increased runoff and pollutant loads into </w:t>
      </w:r>
      <w:proofErr w:type="spellStart"/>
      <w:r>
        <w:t>Koonung</w:t>
      </w:r>
      <w:proofErr w:type="spellEnd"/>
      <w:r>
        <w:t xml:space="preserve"> Creek or, moreover, contribute to the improve</w:t>
      </w:r>
      <w:r w:rsidR="006B5716">
        <w:t>d</w:t>
      </w:r>
      <w:r>
        <w:t xml:space="preserve"> health of that waterway.</w:t>
      </w:r>
    </w:p>
    <w:p w14:paraId="66197885" w14:textId="5616E3C7" w:rsidR="00C7776E" w:rsidRDefault="00E22EE7" w:rsidP="009D3296">
      <w:pPr>
        <w:pStyle w:val="ListParagraph"/>
      </w:pPr>
      <w:r>
        <w:t xml:space="preserve"> </w:t>
      </w:r>
    </w:p>
    <w:p w14:paraId="1BF7F32E" w14:textId="2A439B16" w:rsidR="00C7776E" w:rsidRDefault="008D1762" w:rsidP="009D3296">
      <w:pPr>
        <w:pStyle w:val="ListParagraph"/>
        <w:numPr>
          <w:ilvl w:val="0"/>
          <w:numId w:val="6"/>
        </w:numPr>
        <w:ind w:hanging="720"/>
      </w:pPr>
      <w:r>
        <w:t xml:space="preserve">Almost all participants at the Conclave Meeting of Ecology Experts </w:t>
      </w:r>
      <w:r w:rsidR="00A8481E">
        <w:t>agreed that impacts cannot be compensated for by native vegetation offsets, primarily because hydrological modifications (such as undergrounding) do</w:t>
      </w:r>
      <w:r w:rsidR="00AA059A">
        <w:t xml:space="preserve"> not require such compensation.</w:t>
      </w:r>
      <w:r w:rsidR="00AA059A">
        <w:rPr>
          <w:rStyle w:val="FootnoteReference"/>
        </w:rPr>
        <w:footnoteReference w:id="61"/>
      </w:r>
    </w:p>
    <w:p w14:paraId="1238E6AF" w14:textId="77777777" w:rsidR="00C7776E" w:rsidRDefault="00C7776E" w:rsidP="009D3296">
      <w:pPr>
        <w:pStyle w:val="ListParagraph"/>
        <w:ind w:hanging="720"/>
      </w:pPr>
    </w:p>
    <w:p w14:paraId="62D31E29" w14:textId="177EC26F" w:rsidR="00C7776E" w:rsidRDefault="00A866C3" w:rsidP="009D3296">
      <w:pPr>
        <w:pStyle w:val="ListParagraph"/>
        <w:numPr>
          <w:ilvl w:val="0"/>
          <w:numId w:val="6"/>
        </w:numPr>
        <w:ind w:hanging="720"/>
      </w:pPr>
      <w:r>
        <w:t xml:space="preserve">Losses of native vegetation associated with Endangered EVCs along </w:t>
      </w:r>
      <w:proofErr w:type="spellStart"/>
      <w:r>
        <w:t>Koonung</w:t>
      </w:r>
      <w:proofErr w:type="spellEnd"/>
      <w:r>
        <w:t xml:space="preserve"> Creek </w:t>
      </w:r>
      <w:r w:rsidR="008D1762">
        <w:t xml:space="preserve">will only </w:t>
      </w:r>
      <w:r w:rsidR="009E59B8">
        <w:t xml:space="preserve">be compensated for by offsets </w:t>
      </w:r>
      <w:r w:rsidR="008D1762">
        <w:t>well away from the project area.</w:t>
      </w:r>
      <w:r w:rsidR="008D1762">
        <w:rPr>
          <w:rStyle w:val="FootnoteReference"/>
        </w:rPr>
        <w:footnoteReference w:id="62"/>
      </w:r>
      <w:r w:rsidR="008D1762">
        <w:t xml:space="preserve"> </w:t>
      </w:r>
      <w:r w:rsidR="00B57330">
        <w:t xml:space="preserve">To this extent, native vegetation losses of Endangered EVCs along </w:t>
      </w:r>
      <w:proofErr w:type="spellStart"/>
      <w:r w:rsidR="00B57330">
        <w:t>Koonung</w:t>
      </w:r>
      <w:proofErr w:type="spellEnd"/>
      <w:r w:rsidR="00B57330">
        <w:t xml:space="preserve"> Creek </w:t>
      </w:r>
      <w:r w:rsidR="008D1762">
        <w:t xml:space="preserve">will likely </w:t>
      </w:r>
      <w:r w:rsidR="00B57330">
        <w:t xml:space="preserve">exacerbate depletion of those vegetation types and contribute to the risk of their regional extinction. </w:t>
      </w:r>
    </w:p>
    <w:p w14:paraId="0F4D561A" w14:textId="77777777" w:rsidR="008D1762" w:rsidRDefault="008D1762" w:rsidP="009D3296">
      <w:pPr>
        <w:pStyle w:val="ListParagraph"/>
      </w:pPr>
    </w:p>
    <w:p w14:paraId="0B32F477" w14:textId="170927F0" w:rsidR="008D1762" w:rsidRDefault="0073536F" w:rsidP="009D3296">
      <w:pPr>
        <w:pStyle w:val="ListParagraph"/>
        <w:numPr>
          <w:ilvl w:val="0"/>
          <w:numId w:val="6"/>
        </w:numPr>
        <w:ind w:hanging="720"/>
      </w:pPr>
      <w:r>
        <w:t xml:space="preserve">Loss of habitat along the </w:t>
      </w:r>
      <w:proofErr w:type="spellStart"/>
      <w:r>
        <w:t>Koonung</w:t>
      </w:r>
      <w:proofErr w:type="spellEnd"/>
      <w:r>
        <w:t xml:space="preserve"> Creek valley </w:t>
      </w:r>
      <w:r w:rsidR="008D1762">
        <w:t>as a result of</w:t>
      </w:r>
      <w:r>
        <w:t xml:space="preserve"> the NELP may exacerbate faunal habitat fragmentation and </w:t>
      </w:r>
      <w:r w:rsidR="008D1762">
        <w:t xml:space="preserve">will </w:t>
      </w:r>
      <w:r>
        <w:t>diminish opportunities to enhance connectivity or reha</w:t>
      </w:r>
      <w:r w:rsidR="009A6564">
        <w:t>bilitate the urban environment.</w:t>
      </w:r>
      <w:r w:rsidR="009A6564">
        <w:rPr>
          <w:rStyle w:val="FootnoteReference"/>
        </w:rPr>
        <w:footnoteReference w:id="63"/>
      </w:r>
      <w:r w:rsidR="008D1762">
        <w:t xml:space="preserve"> It is not known whether the loss of habitat will trigger </w:t>
      </w:r>
      <w:r w:rsidR="008D1762" w:rsidRPr="008D1762">
        <w:t xml:space="preserve">threshold or </w:t>
      </w:r>
      <w:r w:rsidR="008D1762">
        <w:t>‘</w:t>
      </w:r>
      <w:r w:rsidR="008D1762" w:rsidRPr="008D1762">
        <w:t>tipping point</w:t>
      </w:r>
      <w:r w:rsidR="008D1762">
        <w:t>s’</w:t>
      </w:r>
      <w:r w:rsidR="008D1762" w:rsidRPr="008D1762">
        <w:t xml:space="preserve"> for localised extinctions of Endangered EVCs</w:t>
      </w:r>
      <w:r w:rsidR="008D1762">
        <w:t xml:space="preserve"> or other threatened species (i.e.</w:t>
      </w:r>
      <w:r w:rsidR="008D1762" w:rsidRPr="008D1762">
        <w:t xml:space="preserve"> </w:t>
      </w:r>
      <w:r w:rsidR="008D1762">
        <w:t xml:space="preserve">the </w:t>
      </w:r>
      <w:r w:rsidR="008D1762" w:rsidRPr="008D1762">
        <w:t>Powerful Owl)</w:t>
      </w:r>
      <w:r w:rsidR="008D1762">
        <w:t>.</w:t>
      </w:r>
      <w:r w:rsidR="008D1762" w:rsidRPr="008D1762">
        <w:t xml:space="preserve"> </w:t>
      </w:r>
    </w:p>
    <w:p w14:paraId="423F9A61" w14:textId="77777777" w:rsidR="00C7776E" w:rsidRDefault="00C7776E" w:rsidP="00C7776E">
      <w:pPr>
        <w:pStyle w:val="ListParagraph"/>
      </w:pPr>
    </w:p>
    <w:p w14:paraId="5BAE348A" w14:textId="2B9068AF" w:rsidR="00C7776E" w:rsidRPr="0059364F" w:rsidRDefault="009A6275" w:rsidP="009D3296">
      <w:pPr>
        <w:pStyle w:val="ListParagraph"/>
        <w:numPr>
          <w:ilvl w:val="0"/>
          <w:numId w:val="6"/>
        </w:numPr>
        <w:ind w:hanging="720"/>
      </w:pPr>
      <w:r w:rsidRPr="0059364F">
        <w:t>This is inconsistent with the strategic directi</w:t>
      </w:r>
      <w:r w:rsidR="006B5716">
        <w:t>on</w:t>
      </w:r>
      <w:r w:rsidR="0059364F" w:rsidRPr="0059364F">
        <w:t xml:space="preserve"> of </w:t>
      </w:r>
      <w:r w:rsidR="006B5716">
        <w:t xml:space="preserve">the </w:t>
      </w:r>
      <w:r w:rsidR="0059364F" w:rsidRPr="0059364F">
        <w:t>VPP</w:t>
      </w:r>
      <w:r w:rsidR="006B5716">
        <w:t>s</w:t>
      </w:r>
      <w:r w:rsidR="0059364F" w:rsidRPr="0059364F">
        <w:t>, cl 12.01-1S, with the intent of</w:t>
      </w:r>
      <w:r w:rsidR="0006598D" w:rsidRPr="0059364F">
        <w:t xml:space="preserve"> </w:t>
      </w:r>
      <w:r w:rsidR="0059364F" w:rsidRPr="0059364F">
        <w:rPr>
          <w:i/>
        </w:rPr>
        <w:t>Biodiversity 2037</w:t>
      </w:r>
      <w:r w:rsidR="0059364F" w:rsidRPr="0059364F">
        <w:t xml:space="preserve">, and with the </w:t>
      </w:r>
      <w:r w:rsidR="0059364F" w:rsidRPr="006B5716">
        <w:rPr>
          <w:i/>
        </w:rPr>
        <w:t>F</w:t>
      </w:r>
      <w:r w:rsidR="006B5716" w:rsidRPr="006B5716">
        <w:rPr>
          <w:i/>
        </w:rPr>
        <w:t xml:space="preserve">lora and </w:t>
      </w:r>
      <w:r w:rsidR="0059364F" w:rsidRPr="006B5716">
        <w:rPr>
          <w:i/>
        </w:rPr>
        <w:t>F</w:t>
      </w:r>
      <w:r w:rsidR="006B5716" w:rsidRPr="006B5716">
        <w:rPr>
          <w:i/>
        </w:rPr>
        <w:t xml:space="preserve">auna </w:t>
      </w:r>
      <w:r w:rsidR="0059364F" w:rsidRPr="006B5716">
        <w:rPr>
          <w:i/>
        </w:rPr>
        <w:t>G</w:t>
      </w:r>
      <w:r w:rsidR="006B5716" w:rsidRPr="006B5716">
        <w:rPr>
          <w:i/>
        </w:rPr>
        <w:t>uarantee</w:t>
      </w:r>
      <w:r w:rsidR="0059364F" w:rsidRPr="006B5716">
        <w:rPr>
          <w:i/>
        </w:rPr>
        <w:t xml:space="preserve"> Amendment Act</w:t>
      </w:r>
      <w:r w:rsidR="006B5716" w:rsidRPr="006B5716">
        <w:rPr>
          <w:i/>
        </w:rPr>
        <w:t xml:space="preserve"> 2019</w:t>
      </w:r>
      <w:r w:rsidR="0059364F" w:rsidRPr="0059364F">
        <w:t xml:space="preserve">, each of which contribute to a legal and policy framework directed to arresting and reversing trajectories of decline and enabling trajectories of ecological improvement and recovery. </w:t>
      </w:r>
    </w:p>
    <w:p w14:paraId="45226993" w14:textId="77777777" w:rsidR="00C7776E" w:rsidRDefault="00C7776E" w:rsidP="009D3296">
      <w:pPr>
        <w:pStyle w:val="ListParagraph"/>
        <w:ind w:hanging="720"/>
      </w:pPr>
    </w:p>
    <w:p w14:paraId="41A8AC97" w14:textId="554DE40C" w:rsidR="0026418B" w:rsidRDefault="00D248FE" w:rsidP="009D3296">
      <w:pPr>
        <w:pStyle w:val="ListParagraph"/>
        <w:numPr>
          <w:ilvl w:val="0"/>
          <w:numId w:val="6"/>
        </w:numPr>
        <w:ind w:hanging="720"/>
      </w:pPr>
      <w:r>
        <w:t xml:space="preserve">It is not acceptable that the widening of the Eastern Freeway between Bulleen Rd and Springvale Rd </w:t>
      </w:r>
      <w:r w:rsidR="00F808BA">
        <w:t xml:space="preserve">will </w:t>
      </w:r>
      <w:r w:rsidR="002356E0">
        <w:t xml:space="preserve">extensively degrade the environmental values of the </w:t>
      </w:r>
      <w:proofErr w:type="spellStart"/>
      <w:r w:rsidR="002356E0">
        <w:t>Koonung</w:t>
      </w:r>
      <w:proofErr w:type="spellEnd"/>
      <w:r w:rsidR="002356E0">
        <w:t xml:space="preserve"> Reserve and provide no robust pathways for local or regional urban environmental repair and restoration. </w:t>
      </w:r>
    </w:p>
    <w:p w14:paraId="7EF1E4A2" w14:textId="77777777" w:rsidR="0026418B" w:rsidRDefault="0026418B" w:rsidP="009D3296">
      <w:pPr>
        <w:pStyle w:val="ListParagraph"/>
        <w:ind w:hanging="720"/>
      </w:pPr>
    </w:p>
    <w:p w14:paraId="02F720DE" w14:textId="2832939A" w:rsidR="0026418B" w:rsidRDefault="005E6DBB" w:rsidP="009D3296">
      <w:pPr>
        <w:pStyle w:val="ListParagraph"/>
        <w:numPr>
          <w:ilvl w:val="0"/>
          <w:numId w:val="6"/>
        </w:numPr>
        <w:ind w:hanging="720"/>
      </w:pPr>
      <w:r>
        <w:t xml:space="preserve">In respect of </w:t>
      </w:r>
      <w:proofErr w:type="spellStart"/>
      <w:r>
        <w:t>Koonung</w:t>
      </w:r>
      <w:proofErr w:type="spellEnd"/>
      <w:r>
        <w:t xml:space="preserve"> Cree</w:t>
      </w:r>
      <w:r w:rsidR="005D355E">
        <w:t xml:space="preserve">k </w:t>
      </w:r>
      <w:r w:rsidR="00F808BA">
        <w:t>t</w:t>
      </w:r>
      <w:r w:rsidR="005D355E">
        <w:t>he NELP w</w:t>
      </w:r>
      <w:r w:rsidR="00F808BA">
        <w:t>ill</w:t>
      </w:r>
      <w:r w:rsidR="005D355E">
        <w:t xml:space="preserve"> likely </w:t>
      </w:r>
      <w:r>
        <w:t>lead to a ‘net loss’ in environmental outcomes and certainly no</w:t>
      </w:r>
      <w:r w:rsidR="00F808BA">
        <w:t>t a</w:t>
      </w:r>
      <w:r>
        <w:t xml:space="preserve"> ‘net gain’. </w:t>
      </w:r>
    </w:p>
    <w:p w14:paraId="5DB4908E" w14:textId="77777777" w:rsidR="0026418B" w:rsidRDefault="0026418B" w:rsidP="009D3296">
      <w:pPr>
        <w:pStyle w:val="ListParagraph"/>
        <w:ind w:hanging="720"/>
      </w:pPr>
    </w:p>
    <w:p w14:paraId="5F53B581" w14:textId="4D1042E2" w:rsidR="0026418B" w:rsidRDefault="005D355E" w:rsidP="009D3296">
      <w:pPr>
        <w:pStyle w:val="ListParagraph"/>
        <w:numPr>
          <w:ilvl w:val="0"/>
          <w:numId w:val="6"/>
        </w:numPr>
        <w:ind w:hanging="720"/>
      </w:pPr>
      <w:r>
        <w:t xml:space="preserve">The only acceptable outcome for the NELP would be to avoid the widening of the Eastern Freeway along the </w:t>
      </w:r>
      <w:proofErr w:type="spellStart"/>
      <w:r>
        <w:t>Koonung</w:t>
      </w:r>
      <w:proofErr w:type="spellEnd"/>
      <w:r>
        <w:t xml:space="preserve"> Creek valley.</w:t>
      </w:r>
    </w:p>
    <w:p w14:paraId="03E2B385" w14:textId="1BD69129" w:rsidR="00A50BD9" w:rsidRDefault="00A50BD9" w:rsidP="009D3296"/>
    <w:p w14:paraId="29671192" w14:textId="21EF2B01" w:rsidR="0026418B" w:rsidRDefault="0026418B" w:rsidP="0026418B">
      <w:pPr>
        <w:pStyle w:val="Heading3"/>
      </w:pPr>
      <w:bookmarkStart w:id="22" w:name="_Toc18573013"/>
      <w:bookmarkStart w:id="23" w:name="_Toc18592026"/>
      <w:r>
        <w:lastRenderedPageBreak/>
        <w:t>Banyule Creek</w:t>
      </w:r>
      <w:bookmarkEnd w:id="22"/>
      <w:bookmarkEnd w:id="23"/>
    </w:p>
    <w:p w14:paraId="5062BE0A" w14:textId="77777777" w:rsidR="0026418B" w:rsidRDefault="00D9749F" w:rsidP="009D3296">
      <w:pPr>
        <w:pStyle w:val="ListParagraph"/>
        <w:numPr>
          <w:ilvl w:val="0"/>
          <w:numId w:val="6"/>
        </w:numPr>
        <w:ind w:hanging="720"/>
      </w:pPr>
      <w:r>
        <w:t>Banyule Creek is a small tributary of the Yarra River</w:t>
      </w:r>
      <w:r w:rsidR="00680B61">
        <w:t xml:space="preserve">, rising in the Simpson Army Barracks. It is a modified but ‘naturalistic’ waterway, to the extent it is set within public reserves and remnant riparian vegetation, </w:t>
      </w:r>
      <w:r w:rsidR="008D7FDD">
        <w:t xml:space="preserve">retaining an open channel of variable habitat value, between Simpson Barracks, River Red Gum Walk and Banyule Flats. </w:t>
      </w:r>
    </w:p>
    <w:p w14:paraId="55921F8D" w14:textId="77777777" w:rsidR="0026418B" w:rsidRDefault="0026418B" w:rsidP="009D3296">
      <w:pPr>
        <w:pStyle w:val="ListParagraph"/>
        <w:ind w:hanging="720"/>
      </w:pPr>
    </w:p>
    <w:p w14:paraId="6C40373E" w14:textId="45325B5E" w:rsidR="0026418B" w:rsidRDefault="000273BA" w:rsidP="009D3296">
      <w:pPr>
        <w:pStyle w:val="ListParagraph"/>
        <w:numPr>
          <w:ilvl w:val="0"/>
          <w:numId w:val="6"/>
        </w:numPr>
        <w:ind w:hanging="720"/>
      </w:pPr>
      <w:r>
        <w:t>In recognition of the ecological and amenity values of native vegetation along the Banyule Creek</w:t>
      </w:r>
      <w:r w:rsidR="00223ADB">
        <w:t>,</w:t>
      </w:r>
      <w:r>
        <w:t xml:space="preserve"> </w:t>
      </w:r>
      <w:r w:rsidR="00223ADB">
        <w:t>Environmental Significance Overlay Schedule 4 (</w:t>
      </w:r>
      <w:r w:rsidR="00223ADB" w:rsidRPr="009D3296">
        <w:rPr>
          <w:b/>
        </w:rPr>
        <w:t>‘</w:t>
      </w:r>
      <w:r w:rsidRPr="009D3296">
        <w:rPr>
          <w:b/>
        </w:rPr>
        <w:t>ESO4</w:t>
      </w:r>
      <w:r w:rsidR="00223ADB" w:rsidRPr="009D3296">
        <w:rPr>
          <w:b/>
        </w:rPr>
        <w:t>’</w:t>
      </w:r>
      <w:r w:rsidR="00223ADB">
        <w:t>)</w:t>
      </w:r>
      <w:r>
        <w:t xml:space="preserve"> applies to the creek corridor between Plenty Road and Banyule Flats for which the objective is to ‘protect and enhance trees and areas of vegetation that are signi</w:t>
      </w:r>
      <w:r w:rsidR="009F509D">
        <w:t>ficant</w:t>
      </w:r>
      <w:r>
        <w:t>’</w:t>
      </w:r>
      <w:r w:rsidR="009F509D">
        <w:t>.</w:t>
      </w:r>
    </w:p>
    <w:p w14:paraId="76943C5B" w14:textId="77777777" w:rsidR="0026418B" w:rsidRDefault="0026418B" w:rsidP="009D3296">
      <w:pPr>
        <w:pStyle w:val="ListParagraph"/>
        <w:ind w:hanging="720"/>
      </w:pPr>
    </w:p>
    <w:p w14:paraId="229D9A36" w14:textId="38B514C1" w:rsidR="0026418B" w:rsidRDefault="008D7FDD" w:rsidP="009D3296">
      <w:pPr>
        <w:pStyle w:val="ListParagraph"/>
        <w:numPr>
          <w:ilvl w:val="0"/>
          <w:numId w:val="6"/>
        </w:numPr>
        <w:ind w:hanging="720"/>
      </w:pPr>
      <w:r>
        <w:t>As a consequence of cut and cover tunnelling techniques north of Banyule Flats</w:t>
      </w:r>
      <w:r w:rsidR="00223ADB">
        <w:t>,</w:t>
      </w:r>
      <w:r>
        <w:t xml:space="preserve"> the Reference Design w</w:t>
      </w:r>
      <w:r w:rsidR="00223ADB">
        <w:t>ill</w:t>
      </w:r>
      <w:r>
        <w:t xml:space="preserve"> underground a large portion of Banyule Creek (1.4 km)</w:t>
      </w:r>
      <w:r w:rsidR="00743720">
        <w:t>, including the existing channel</w:t>
      </w:r>
      <w:r w:rsidR="0071405D">
        <w:t>, and remnant vegetation in the creek corridor w</w:t>
      </w:r>
      <w:r w:rsidR="00223ADB">
        <w:t>ill</w:t>
      </w:r>
      <w:r w:rsidR="0071405D">
        <w:t xml:space="preserve"> be removed</w:t>
      </w:r>
      <w:r>
        <w:t xml:space="preserve">. </w:t>
      </w:r>
      <w:r w:rsidR="002132E3">
        <w:t>In effect</w:t>
      </w:r>
      <w:r w:rsidR="0071405D">
        <w:t>,</w:t>
      </w:r>
      <w:r w:rsidR="002132E3">
        <w:t xml:space="preserve"> this feature </w:t>
      </w:r>
      <w:r w:rsidR="00223ADB">
        <w:t>will largely</w:t>
      </w:r>
      <w:r w:rsidR="002132E3">
        <w:t xml:space="preserve"> be lost. </w:t>
      </w:r>
    </w:p>
    <w:p w14:paraId="1331C4D0" w14:textId="77777777" w:rsidR="0026418B" w:rsidRDefault="0026418B" w:rsidP="009D3296">
      <w:pPr>
        <w:pStyle w:val="ListParagraph"/>
        <w:ind w:hanging="720"/>
      </w:pPr>
    </w:p>
    <w:p w14:paraId="7D17B9C4" w14:textId="7FC5DE96" w:rsidR="0026418B" w:rsidRDefault="002132E3" w:rsidP="009D3296">
      <w:pPr>
        <w:pStyle w:val="ListParagraph"/>
        <w:numPr>
          <w:ilvl w:val="0"/>
          <w:numId w:val="6"/>
        </w:numPr>
        <w:ind w:hanging="720"/>
      </w:pPr>
      <w:r>
        <w:t>We have addressed the issue of potential surface water and water quality issues pertaining to Banyule Creek and othe</w:t>
      </w:r>
      <w:r w:rsidR="00F661D9">
        <w:t>r waterways. As Mr Dunn established in his evidence there is no effective baseline data for water quality for Banyule Cre</w:t>
      </w:r>
      <w:r w:rsidR="009C519B">
        <w:t>ek, the most recent data being seven</w:t>
      </w:r>
      <w:r w:rsidR="00F661D9">
        <w:t xml:space="preserve"> years old. The Creek is ephemeral and there is no flow data for it. </w:t>
      </w:r>
    </w:p>
    <w:p w14:paraId="123E8EB7" w14:textId="77777777" w:rsidR="0026418B" w:rsidRDefault="0026418B" w:rsidP="009D3296">
      <w:pPr>
        <w:pStyle w:val="ListParagraph"/>
        <w:ind w:hanging="720"/>
      </w:pPr>
    </w:p>
    <w:p w14:paraId="217B703E" w14:textId="15EA0469" w:rsidR="0026418B" w:rsidRDefault="00223ADB" w:rsidP="009D3296">
      <w:pPr>
        <w:pStyle w:val="ListParagraph"/>
        <w:numPr>
          <w:ilvl w:val="0"/>
          <w:numId w:val="6"/>
        </w:numPr>
        <w:ind w:hanging="720"/>
      </w:pPr>
      <w:r>
        <w:t xml:space="preserve">The evidence of </w:t>
      </w:r>
      <w:r w:rsidR="00AE1C7A">
        <w:t xml:space="preserve">Mr Dunn also </w:t>
      </w:r>
      <w:r>
        <w:t xml:space="preserve">confirmed that </w:t>
      </w:r>
      <w:r w:rsidR="00AE1C7A">
        <w:t>the NELP will result in unacceptable environmental impacts on Banyule Creek because of a lack of consideration of water quality mitigation measures or treatment assets within the Banyule catchment.</w:t>
      </w:r>
      <w:r w:rsidR="00AE1C7A">
        <w:rPr>
          <w:rStyle w:val="FootnoteReference"/>
        </w:rPr>
        <w:footnoteReference w:id="64"/>
      </w:r>
    </w:p>
    <w:p w14:paraId="178DC262" w14:textId="77777777" w:rsidR="0026418B" w:rsidRDefault="0026418B" w:rsidP="009D3296">
      <w:pPr>
        <w:pStyle w:val="ListParagraph"/>
        <w:ind w:hanging="720"/>
      </w:pPr>
    </w:p>
    <w:p w14:paraId="26D40191" w14:textId="5C695998" w:rsidR="0026418B" w:rsidRDefault="00175CBF" w:rsidP="009D3296">
      <w:pPr>
        <w:pStyle w:val="ListParagraph"/>
        <w:numPr>
          <w:ilvl w:val="0"/>
          <w:numId w:val="6"/>
        </w:numPr>
        <w:ind w:hanging="720"/>
      </w:pPr>
      <w:r>
        <w:t>As a consequence of urban impacts, the i</w:t>
      </w:r>
      <w:r w:rsidR="00AE1C7A">
        <w:t>n-stream habitat values for Banyule Creek are poor</w:t>
      </w:r>
      <w:r>
        <w:t xml:space="preserve">. However, </w:t>
      </w:r>
      <w:r w:rsidR="002D3F27">
        <w:t>the NELP</w:t>
      </w:r>
      <w:r>
        <w:t xml:space="preserve"> as proposed</w:t>
      </w:r>
      <w:r w:rsidR="002D3F27">
        <w:t xml:space="preserve"> effectively foreclose</w:t>
      </w:r>
      <w:r>
        <w:t>s</w:t>
      </w:r>
      <w:r w:rsidR="002D3F27">
        <w:t xml:space="preserve"> opportunities for rehabilitation of this waterway as an improved ‘naturalistic’ feature</w:t>
      </w:r>
      <w:r w:rsidR="00D04CB1">
        <w:t>,</w:t>
      </w:r>
      <w:r w:rsidR="002D3F27">
        <w:t xml:space="preserve"> including as a habitat and environmental corridor within the </w:t>
      </w:r>
      <w:r w:rsidR="00D04CB1">
        <w:t xml:space="preserve">urban </w:t>
      </w:r>
      <w:r w:rsidR="002D3F27">
        <w:t xml:space="preserve">Yarra catchment. </w:t>
      </w:r>
    </w:p>
    <w:p w14:paraId="2E4CCFE0" w14:textId="77777777" w:rsidR="0026418B" w:rsidRDefault="0026418B" w:rsidP="009D3296">
      <w:pPr>
        <w:pStyle w:val="ListParagraph"/>
        <w:ind w:hanging="720"/>
      </w:pPr>
    </w:p>
    <w:p w14:paraId="73B04215" w14:textId="71083BF6" w:rsidR="0026418B" w:rsidRDefault="00175CBF" w:rsidP="009D3296">
      <w:pPr>
        <w:pStyle w:val="ListParagraph"/>
        <w:numPr>
          <w:ilvl w:val="0"/>
          <w:numId w:val="6"/>
        </w:numPr>
        <w:ind w:hanging="720"/>
      </w:pPr>
      <w:r>
        <w:t>The substantial loss of the Banyule Creek corridor, c</w:t>
      </w:r>
      <w:r w:rsidR="00844AC7">
        <w:t>onsidered cumulatively</w:t>
      </w:r>
      <w:r w:rsidR="00E02C50">
        <w:t xml:space="preserve"> with the impacts on </w:t>
      </w:r>
      <w:proofErr w:type="spellStart"/>
      <w:r w:rsidR="00E02C50">
        <w:t>Koonung</w:t>
      </w:r>
      <w:proofErr w:type="spellEnd"/>
      <w:r w:rsidR="00E02C50">
        <w:t xml:space="preserve"> Creek, </w:t>
      </w:r>
      <w:r>
        <w:t>limits</w:t>
      </w:r>
      <w:r w:rsidR="00F87BCC">
        <w:t xml:space="preserve"> and confine</w:t>
      </w:r>
      <w:r>
        <w:t>s</w:t>
      </w:r>
      <w:r w:rsidR="00F87BCC">
        <w:t xml:space="preserve"> the naturalistic urban landscape </w:t>
      </w:r>
      <w:r w:rsidR="00447E22">
        <w:t xml:space="preserve">in Melbourne’s east </w:t>
      </w:r>
      <w:r w:rsidR="00145514">
        <w:t xml:space="preserve">to the Yarra River corridor solely. This is inconsistent with </w:t>
      </w:r>
      <w:r w:rsidR="008453D3">
        <w:t xml:space="preserve">planning policy and environmental policy. </w:t>
      </w:r>
    </w:p>
    <w:p w14:paraId="4BE40C46" w14:textId="77777777" w:rsidR="0026418B" w:rsidRDefault="0026418B" w:rsidP="009D3296">
      <w:pPr>
        <w:pStyle w:val="ListParagraph"/>
        <w:ind w:hanging="720"/>
      </w:pPr>
    </w:p>
    <w:p w14:paraId="17D2A83D" w14:textId="63F14C1E" w:rsidR="0026418B" w:rsidRDefault="00447E22" w:rsidP="009D3296">
      <w:pPr>
        <w:pStyle w:val="ListParagraph"/>
        <w:numPr>
          <w:ilvl w:val="0"/>
          <w:numId w:val="6"/>
        </w:numPr>
        <w:ind w:hanging="720"/>
      </w:pPr>
      <w:r>
        <w:t>Combined with the potential to exacerbate stormwater and water quality problems, including for the Yarra itself, th</w:t>
      </w:r>
      <w:r w:rsidR="00175CBF">
        <w:t>e NELP’s proposed</w:t>
      </w:r>
      <w:r>
        <w:t xml:space="preserve"> treatment of Banyule Creek is not an acceptable outcome. </w:t>
      </w:r>
    </w:p>
    <w:p w14:paraId="2988C5B3" w14:textId="77777777" w:rsidR="0026418B" w:rsidRDefault="0026418B" w:rsidP="009D3296">
      <w:pPr>
        <w:pStyle w:val="ListParagraph"/>
        <w:ind w:hanging="720"/>
      </w:pPr>
    </w:p>
    <w:p w14:paraId="33997A38" w14:textId="050D9C6D" w:rsidR="0026418B" w:rsidRDefault="0026418B" w:rsidP="0026418B">
      <w:pPr>
        <w:pStyle w:val="Heading3"/>
      </w:pPr>
      <w:bookmarkStart w:id="24" w:name="_Toc18573014"/>
      <w:bookmarkStart w:id="25" w:name="_Toc18592027"/>
      <w:r w:rsidRPr="00186FA2">
        <w:t>Simpson Army Barracks</w:t>
      </w:r>
      <w:bookmarkEnd w:id="24"/>
      <w:bookmarkEnd w:id="25"/>
    </w:p>
    <w:p w14:paraId="23B63488" w14:textId="3482411E" w:rsidR="0026418B" w:rsidRDefault="00E00A6A" w:rsidP="009D3296">
      <w:pPr>
        <w:pStyle w:val="ListParagraph"/>
        <w:numPr>
          <w:ilvl w:val="0"/>
          <w:numId w:val="6"/>
        </w:numPr>
        <w:ind w:hanging="720"/>
      </w:pPr>
      <w:r>
        <w:t>The i</w:t>
      </w:r>
      <w:r w:rsidR="008F34E0">
        <w:t>mpacts of</w:t>
      </w:r>
      <w:r>
        <w:t xml:space="preserve"> the</w:t>
      </w:r>
      <w:r w:rsidR="008F34E0">
        <w:t xml:space="preserve"> NELP on remnant grassy woodlands and rare and threatened flora species at Simpson Army Barracks have been a particular focus of ecological evidence before the </w:t>
      </w:r>
      <w:r>
        <w:t>IAC</w:t>
      </w:r>
      <w:r w:rsidR="008F34E0">
        <w:t xml:space="preserve">. </w:t>
      </w:r>
    </w:p>
    <w:p w14:paraId="3F0FE90D" w14:textId="77777777" w:rsidR="0026418B" w:rsidRDefault="0026418B" w:rsidP="009D3296">
      <w:pPr>
        <w:pStyle w:val="ListParagraph"/>
        <w:ind w:hanging="720"/>
      </w:pPr>
    </w:p>
    <w:p w14:paraId="4F007E76" w14:textId="0408F1B2" w:rsidR="0026418B" w:rsidRDefault="008B4916" w:rsidP="009D3296">
      <w:pPr>
        <w:pStyle w:val="ListParagraph"/>
        <w:numPr>
          <w:ilvl w:val="0"/>
          <w:numId w:val="6"/>
        </w:numPr>
        <w:ind w:hanging="720"/>
      </w:pPr>
      <w:r>
        <w:lastRenderedPageBreak/>
        <w:t xml:space="preserve">The </w:t>
      </w:r>
      <w:r w:rsidR="00E00A6A">
        <w:t xml:space="preserve">participants at the Conclave Meeting of </w:t>
      </w:r>
      <w:r>
        <w:t>Ecolog</w:t>
      </w:r>
      <w:r w:rsidR="00E00A6A">
        <w:t>y Experts</w:t>
      </w:r>
      <w:r>
        <w:t xml:space="preserve"> </w:t>
      </w:r>
      <w:r w:rsidR="007B6F06">
        <w:t xml:space="preserve">agreed </w:t>
      </w:r>
      <w:r>
        <w:t>that further avoidance of native vegetation removal and impacts should prioritise the Simpson Barracks.</w:t>
      </w:r>
      <w:r>
        <w:rPr>
          <w:rStyle w:val="FootnoteReference"/>
        </w:rPr>
        <w:footnoteReference w:id="65"/>
      </w:r>
    </w:p>
    <w:p w14:paraId="61004C02" w14:textId="77777777" w:rsidR="0026418B" w:rsidRDefault="0026418B" w:rsidP="009D3296">
      <w:pPr>
        <w:pStyle w:val="ListParagraph"/>
        <w:ind w:hanging="720"/>
      </w:pPr>
    </w:p>
    <w:p w14:paraId="5F52A6B9" w14:textId="2DF6293A" w:rsidR="0026418B" w:rsidRDefault="007B6F06" w:rsidP="009D3296">
      <w:pPr>
        <w:pStyle w:val="ListParagraph"/>
        <w:numPr>
          <w:ilvl w:val="0"/>
          <w:numId w:val="6"/>
        </w:numPr>
        <w:ind w:hanging="720"/>
      </w:pPr>
      <w:r>
        <w:t>Native vegetation at the Simpson Barracks includes remnant Plains Grassy Woodland</w:t>
      </w:r>
      <w:r w:rsidR="00E00A6A">
        <w:t xml:space="preserve"> (</w:t>
      </w:r>
      <w:r>
        <w:t>an Endangered EVC</w:t>
      </w:r>
      <w:r w:rsidR="00E00A6A">
        <w:t>)</w:t>
      </w:r>
      <w:r>
        <w:t>, Matted Flax-Lily (</w:t>
      </w:r>
      <w:r w:rsidR="00E00A6A">
        <w:t xml:space="preserve">listed as </w:t>
      </w:r>
      <w:r>
        <w:t xml:space="preserve">Endangered under the </w:t>
      </w:r>
      <w:r w:rsidRPr="009D3296">
        <w:rPr>
          <w:i/>
        </w:rPr>
        <w:t>E</w:t>
      </w:r>
      <w:r w:rsidR="00E00A6A" w:rsidRPr="009D3296">
        <w:rPr>
          <w:i/>
        </w:rPr>
        <w:t xml:space="preserve">nvironment </w:t>
      </w:r>
      <w:r w:rsidRPr="009D3296">
        <w:rPr>
          <w:i/>
        </w:rPr>
        <w:t>P</w:t>
      </w:r>
      <w:r w:rsidR="00E00A6A" w:rsidRPr="009D3296">
        <w:rPr>
          <w:i/>
        </w:rPr>
        <w:t xml:space="preserve">rotection </w:t>
      </w:r>
      <w:r w:rsidRPr="009D3296">
        <w:rPr>
          <w:i/>
        </w:rPr>
        <w:t>B</w:t>
      </w:r>
      <w:r w:rsidR="00E00A6A" w:rsidRPr="009D3296">
        <w:rPr>
          <w:i/>
        </w:rPr>
        <w:t xml:space="preserve">iodiversity </w:t>
      </w:r>
      <w:r w:rsidRPr="009D3296">
        <w:rPr>
          <w:i/>
        </w:rPr>
        <w:t>C</w:t>
      </w:r>
      <w:r w:rsidR="00E00A6A" w:rsidRPr="009D3296">
        <w:rPr>
          <w:i/>
        </w:rPr>
        <w:t>onservation</w:t>
      </w:r>
      <w:r w:rsidRPr="009D3296">
        <w:rPr>
          <w:i/>
        </w:rPr>
        <w:t xml:space="preserve"> Act</w:t>
      </w:r>
      <w:r w:rsidR="00E00A6A">
        <w:t xml:space="preserve"> </w:t>
      </w:r>
      <w:r w:rsidR="00E00A6A" w:rsidRPr="009D3296">
        <w:rPr>
          <w:i/>
        </w:rPr>
        <w:t>1999</w:t>
      </w:r>
      <w:r w:rsidR="00E00A6A">
        <w:t xml:space="preserve"> (</w:t>
      </w:r>
      <w:r w:rsidR="00E00A6A" w:rsidRPr="009D3296">
        <w:rPr>
          <w:b/>
        </w:rPr>
        <w:t>‘EPBC Act’</w:t>
      </w:r>
      <w:r w:rsidR="00E00A6A">
        <w:t>)</w:t>
      </w:r>
      <w:r>
        <w:t xml:space="preserve">) and </w:t>
      </w:r>
      <w:proofErr w:type="spellStart"/>
      <w:r>
        <w:t>Studley</w:t>
      </w:r>
      <w:proofErr w:type="spellEnd"/>
      <w:r>
        <w:t xml:space="preserve"> Park Gum (listed as Endangered in Victoria).</w:t>
      </w:r>
      <w:r w:rsidR="00E00A6A">
        <w:t xml:space="preserve"> </w:t>
      </w:r>
      <w:r w:rsidR="004D0162">
        <w:t>Taken together, Plains Grassy Woodland and Swampy Riparian Woodland associated with the Gippsland Plains Bioregion represent approximately 33.4 ha out of 52 ha (or 64%) of native vegetation potentially to be removed for NELP.</w:t>
      </w:r>
      <w:r w:rsidR="004D0162">
        <w:rPr>
          <w:rStyle w:val="FootnoteReference"/>
        </w:rPr>
        <w:footnoteReference w:id="66"/>
      </w:r>
      <w:r w:rsidR="00E00A6A">
        <w:t xml:space="preserve"> </w:t>
      </w:r>
      <w:r w:rsidR="003C074D">
        <w:t>In short, the woodlands at Simpson Army Barracks represent one of the most significant remnant areas of urban biodiversity in the region.</w:t>
      </w:r>
    </w:p>
    <w:p w14:paraId="00D2E180" w14:textId="77777777" w:rsidR="0026418B" w:rsidRDefault="0026418B" w:rsidP="009D3296">
      <w:pPr>
        <w:pStyle w:val="ListParagraph"/>
        <w:ind w:hanging="720"/>
      </w:pPr>
    </w:p>
    <w:p w14:paraId="42C3E401" w14:textId="77777777" w:rsidR="0026418B" w:rsidRDefault="003C074D" w:rsidP="009D3296">
      <w:pPr>
        <w:pStyle w:val="ListParagraph"/>
        <w:numPr>
          <w:ilvl w:val="0"/>
          <w:numId w:val="6"/>
        </w:numPr>
        <w:ind w:hanging="720"/>
      </w:pPr>
      <w:r>
        <w:t xml:space="preserve">In our submission Simpson Army Barracks should be considered as an integral component of the connected, remnant, natural (and ‘naturalistic’) landscape in this region, alongside the Yarra catchment. </w:t>
      </w:r>
    </w:p>
    <w:p w14:paraId="700ED207" w14:textId="77777777" w:rsidR="0026418B" w:rsidRDefault="0026418B" w:rsidP="009D3296">
      <w:pPr>
        <w:pStyle w:val="ListParagraph"/>
        <w:ind w:hanging="720"/>
      </w:pPr>
    </w:p>
    <w:p w14:paraId="25756860" w14:textId="5798735B" w:rsidR="0026418B" w:rsidRDefault="00B66016" w:rsidP="009D3296">
      <w:pPr>
        <w:pStyle w:val="ListParagraph"/>
        <w:numPr>
          <w:ilvl w:val="0"/>
          <w:numId w:val="6"/>
        </w:numPr>
        <w:ind w:hanging="720"/>
      </w:pPr>
      <w:r>
        <w:t>The major impacts to native vegetation and biodiversity at Simpson Army Barracks w</w:t>
      </w:r>
      <w:r w:rsidR="00E00A6A">
        <w:t>ill</w:t>
      </w:r>
      <w:r>
        <w:t xml:space="preserve"> come from land clearing</w:t>
      </w:r>
      <w:r w:rsidR="00110A08">
        <w:rPr>
          <w:rStyle w:val="FootnoteReference"/>
        </w:rPr>
        <w:footnoteReference w:id="67"/>
      </w:r>
      <w:r>
        <w:t xml:space="preserve"> </w:t>
      </w:r>
      <w:r w:rsidR="00984E17">
        <w:t>and from groundwater drawdown.</w:t>
      </w:r>
      <w:r w:rsidR="00984E17">
        <w:rPr>
          <w:rStyle w:val="FootnoteReference"/>
        </w:rPr>
        <w:footnoteReference w:id="68"/>
      </w:r>
    </w:p>
    <w:p w14:paraId="2431F19C" w14:textId="77777777" w:rsidR="0026418B" w:rsidRDefault="0026418B" w:rsidP="009D3296">
      <w:pPr>
        <w:pStyle w:val="ListParagraph"/>
        <w:ind w:hanging="720"/>
      </w:pPr>
    </w:p>
    <w:p w14:paraId="791CA416" w14:textId="0E8E495F" w:rsidR="0026418B" w:rsidRDefault="00FE59D7" w:rsidP="009D3296">
      <w:pPr>
        <w:pStyle w:val="ListParagraph"/>
        <w:numPr>
          <w:ilvl w:val="0"/>
          <w:numId w:val="6"/>
        </w:numPr>
        <w:ind w:hanging="720"/>
      </w:pPr>
      <w:r>
        <w:t>As noted, the headwaters of Banyule Creek are located within Simpson Army Barracks and this feature w</w:t>
      </w:r>
      <w:r w:rsidR="00E00A6A">
        <w:t>ill</w:t>
      </w:r>
      <w:r>
        <w:t xml:space="preserve"> be lost as a consequence of the NELP. </w:t>
      </w:r>
    </w:p>
    <w:p w14:paraId="5ACFDEC5" w14:textId="77777777" w:rsidR="0026418B" w:rsidRDefault="0026418B" w:rsidP="009D3296">
      <w:pPr>
        <w:pStyle w:val="ListParagraph"/>
        <w:ind w:hanging="720"/>
      </w:pPr>
    </w:p>
    <w:p w14:paraId="630C4F3F" w14:textId="230808AA" w:rsidR="0026418B" w:rsidRDefault="003C074D" w:rsidP="009D3296">
      <w:pPr>
        <w:pStyle w:val="ListParagraph"/>
        <w:numPr>
          <w:ilvl w:val="0"/>
          <w:numId w:val="6"/>
        </w:numPr>
        <w:ind w:hanging="720"/>
      </w:pPr>
      <w:r>
        <w:t xml:space="preserve">Dr Lorimer’s evidence </w:t>
      </w:r>
      <w:r w:rsidR="00E00A6A">
        <w:t>confirmed</w:t>
      </w:r>
      <w:r>
        <w:t xml:space="preserve"> that </w:t>
      </w:r>
      <w:r w:rsidR="00B0502A">
        <w:t xml:space="preserve">there is a real risk of unassessed and flow-on biodiversity losses on the Simpson Army Barracks land resulting from </w:t>
      </w:r>
      <w:r w:rsidR="00CA0F52">
        <w:t>consequential land clearing (</w:t>
      </w:r>
      <w:proofErr w:type="spellStart"/>
      <w:r w:rsidR="00CA0F52">
        <w:t>eg</w:t>
      </w:r>
      <w:proofErr w:type="spellEnd"/>
      <w:r w:rsidR="00CA0F52">
        <w:t xml:space="preserve"> for a fire break and fencing) through the ‘core of the woodland’</w:t>
      </w:r>
      <w:r w:rsidR="00CA0F52">
        <w:rPr>
          <w:rStyle w:val="FootnoteReference"/>
        </w:rPr>
        <w:footnoteReference w:id="69"/>
      </w:r>
      <w:r w:rsidR="00CA0F52">
        <w:t xml:space="preserve"> and degradation of that ‘core’ via ‘edge effects.’ </w:t>
      </w:r>
      <w:r w:rsidR="00DD7E51">
        <w:t>This is a risk that was not</w:t>
      </w:r>
      <w:r w:rsidR="00FA758D">
        <w:t>,</w:t>
      </w:r>
      <w:r w:rsidR="00DD7E51">
        <w:t xml:space="preserve"> in any </w:t>
      </w:r>
      <w:r w:rsidR="00D32786">
        <w:t xml:space="preserve">significant </w:t>
      </w:r>
      <w:r w:rsidR="00DD7E51">
        <w:t>way</w:t>
      </w:r>
      <w:r w:rsidR="00FA758D">
        <w:t>,</w:t>
      </w:r>
      <w:r w:rsidR="00DD7E51">
        <w:t xml:space="preserve"> diminished when Dr Lorimer’s </w:t>
      </w:r>
      <w:r w:rsidR="00D32786">
        <w:t xml:space="preserve">evidence on the point was tested in cross-examination by counsel for NELP. </w:t>
      </w:r>
    </w:p>
    <w:p w14:paraId="6A49073D" w14:textId="77777777" w:rsidR="0026418B" w:rsidRDefault="0026418B" w:rsidP="009D3296">
      <w:pPr>
        <w:pStyle w:val="ListParagraph"/>
        <w:ind w:hanging="720"/>
      </w:pPr>
    </w:p>
    <w:p w14:paraId="38CCE053" w14:textId="1C998A13" w:rsidR="0026418B" w:rsidRDefault="009C519B" w:rsidP="009D3296">
      <w:pPr>
        <w:pStyle w:val="ListParagraph"/>
        <w:numPr>
          <w:ilvl w:val="0"/>
          <w:numId w:val="6"/>
        </w:numPr>
        <w:ind w:hanging="720"/>
      </w:pPr>
      <w:r>
        <w:t>We submit that the IAC</w:t>
      </w:r>
      <w:r w:rsidR="00FA758D">
        <w:t xml:space="preserve"> should accept Dr Lorimer’s evidenc</w:t>
      </w:r>
      <w:r w:rsidR="00656A37">
        <w:t xml:space="preserve">e that native vegetation losses, associated with an Endangered EVC and threatened flora habitat, are likely understated in the EES. </w:t>
      </w:r>
    </w:p>
    <w:p w14:paraId="26C6A858" w14:textId="77777777" w:rsidR="0026418B" w:rsidRDefault="0026418B" w:rsidP="0026418B">
      <w:pPr>
        <w:pStyle w:val="ListParagraph"/>
      </w:pPr>
    </w:p>
    <w:p w14:paraId="3267CFF3" w14:textId="0C67D2FC" w:rsidR="0026418B" w:rsidRDefault="000959E0" w:rsidP="009D3296">
      <w:pPr>
        <w:pStyle w:val="ListParagraph"/>
        <w:numPr>
          <w:ilvl w:val="0"/>
          <w:numId w:val="6"/>
        </w:numPr>
        <w:ind w:hanging="720"/>
      </w:pPr>
      <w:r>
        <w:t xml:space="preserve">We </w:t>
      </w:r>
      <w:r w:rsidR="00E00A6A">
        <w:t xml:space="preserve">also </w:t>
      </w:r>
      <w:r>
        <w:t xml:space="preserve">submit that an appropriate finding is that </w:t>
      </w:r>
      <w:r w:rsidR="00E00A6A">
        <w:t xml:space="preserve">an assessment of the </w:t>
      </w:r>
      <w:r w:rsidR="00746A55">
        <w:t xml:space="preserve">impacts on native vegetation and habitat at Simpson Barracks </w:t>
      </w:r>
      <w:r w:rsidR="00E00A6A">
        <w:t>must</w:t>
      </w:r>
      <w:r w:rsidR="00746A55">
        <w:t xml:space="preserve"> have regard to ecological thresholds or ‘tipping points’ for extinction risks for rare or threatened species and communities. </w:t>
      </w:r>
    </w:p>
    <w:p w14:paraId="53A17EC2" w14:textId="77777777" w:rsidR="0026418B" w:rsidRDefault="0026418B" w:rsidP="009D3296">
      <w:pPr>
        <w:pStyle w:val="ListParagraph"/>
        <w:ind w:hanging="720"/>
      </w:pPr>
    </w:p>
    <w:p w14:paraId="477C2DF7" w14:textId="55395ECB" w:rsidR="0026418B" w:rsidRDefault="00E3545D" w:rsidP="009D3296">
      <w:pPr>
        <w:pStyle w:val="ListParagraph"/>
        <w:numPr>
          <w:ilvl w:val="0"/>
          <w:numId w:val="6"/>
        </w:numPr>
        <w:ind w:hanging="720"/>
      </w:pPr>
      <w:r>
        <w:t xml:space="preserve">The question of impacts on native vegetation and habitat is not only quantitative, such as calculated through habitat hectare assessments and offsets. </w:t>
      </w:r>
      <w:r w:rsidR="00D7102A">
        <w:t xml:space="preserve">It is </w:t>
      </w:r>
      <w:r w:rsidR="00E00A6A">
        <w:t xml:space="preserve">also </w:t>
      </w:r>
      <w:r w:rsidR="00D7102A">
        <w:t>qualitative or strateg</w:t>
      </w:r>
      <w:r w:rsidR="004F2A7E">
        <w:t xml:space="preserve">ic, in terms of contribution to impairment of resilience and ecological processes of threatened species and communities. </w:t>
      </w:r>
      <w:r w:rsidR="007A1AE0">
        <w:t xml:space="preserve">In essence, how do adverse impacts on endangered species or communities </w:t>
      </w:r>
      <w:r w:rsidR="00A33F50">
        <w:t xml:space="preserve">relate to the risk of localised extinction? </w:t>
      </w:r>
    </w:p>
    <w:p w14:paraId="01FC445C" w14:textId="77777777" w:rsidR="0026418B" w:rsidRDefault="0026418B" w:rsidP="009D3296">
      <w:pPr>
        <w:pStyle w:val="ListParagraph"/>
        <w:ind w:hanging="720"/>
      </w:pPr>
    </w:p>
    <w:p w14:paraId="74177E26" w14:textId="0E74F402" w:rsidR="0026418B" w:rsidRDefault="00B429D4" w:rsidP="009D3296">
      <w:pPr>
        <w:pStyle w:val="ListParagraph"/>
        <w:numPr>
          <w:ilvl w:val="0"/>
          <w:numId w:val="6"/>
        </w:numPr>
        <w:ind w:hanging="720"/>
      </w:pPr>
      <w:r>
        <w:t>Dr Lorimer’s evidence on the risk of unstated incursions into ‘core’ woodland habitat</w:t>
      </w:r>
      <w:r w:rsidR="00FA477E">
        <w:t xml:space="preserve"> (of an Endangered EVC)</w:t>
      </w:r>
      <w:r>
        <w:t xml:space="preserve">, leading to further losses and degradation, is an example of incremental </w:t>
      </w:r>
      <w:r w:rsidR="00FA477E">
        <w:t xml:space="preserve">steps toward such thresholds. </w:t>
      </w:r>
      <w:r w:rsidR="00E00A6A">
        <w:t>T</w:t>
      </w:r>
      <w:r w:rsidR="00A33F50">
        <w:t xml:space="preserve">he </w:t>
      </w:r>
      <w:r w:rsidR="00E00A6A">
        <w:t xml:space="preserve">actual </w:t>
      </w:r>
      <w:r w:rsidR="00A33F50">
        <w:t xml:space="preserve">threshold for localised extinction of Plains Grassy Woodland is, however, not known. </w:t>
      </w:r>
    </w:p>
    <w:p w14:paraId="444F6221" w14:textId="77777777" w:rsidR="0026418B" w:rsidRDefault="0026418B" w:rsidP="009D3296">
      <w:pPr>
        <w:pStyle w:val="ListParagraph"/>
        <w:ind w:hanging="720"/>
      </w:pPr>
    </w:p>
    <w:p w14:paraId="54016C28" w14:textId="00CED665" w:rsidR="0026418B" w:rsidRDefault="00E00A6A" w:rsidP="009D3296">
      <w:pPr>
        <w:pStyle w:val="ListParagraph"/>
        <w:numPr>
          <w:ilvl w:val="0"/>
          <w:numId w:val="6"/>
        </w:numPr>
        <w:ind w:hanging="720"/>
      </w:pPr>
      <w:r>
        <w:t>T</w:t>
      </w:r>
      <w:r w:rsidR="00B43F08">
        <w:t>he fate of the Matted Flax-Lily (</w:t>
      </w:r>
      <w:r w:rsidRPr="009D3296">
        <w:rPr>
          <w:b/>
        </w:rPr>
        <w:t>‘</w:t>
      </w:r>
      <w:r w:rsidR="00B43F08" w:rsidRPr="009D3296">
        <w:rPr>
          <w:b/>
        </w:rPr>
        <w:t>MFL</w:t>
      </w:r>
      <w:r w:rsidRPr="009D3296">
        <w:rPr>
          <w:b/>
        </w:rPr>
        <w:t>’</w:t>
      </w:r>
      <w:r w:rsidR="00B43F08">
        <w:t>) under the NELP</w:t>
      </w:r>
      <w:r>
        <w:t xml:space="preserve"> has also been considered at length in evidence before the IAC. It has been confirmed that u</w:t>
      </w:r>
      <w:r w:rsidR="002808CE">
        <w:t>p to one-third of the population of MFL at the Simpson Army Barracks w</w:t>
      </w:r>
      <w:r>
        <w:t>ill</w:t>
      </w:r>
      <w:r w:rsidR="002808CE">
        <w:t xml:space="preserve"> be adversely impact</w:t>
      </w:r>
      <w:r>
        <w:t>ed</w:t>
      </w:r>
      <w:r w:rsidR="002808CE">
        <w:t xml:space="preserve"> by NELP. </w:t>
      </w:r>
    </w:p>
    <w:p w14:paraId="559F284D" w14:textId="77777777" w:rsidR="0026418B" w:rsidRDefault="0026418B" w:rsidP="009D3296">
      <w:pPr>
        <w:pStyle w:val="ListParagraph"/>
        <w:ind w:hanging="720"/>
      </w:pPr>
    </w:p>
    <w:p w14:paraId="0B1617EC" w14:textId="162449A0" w:rsidR="0026418B" w:rsidRDefault="00E00A6A" w:rsidP="009D3296">
      <w:pPr>
        <w:pStyle w:val="ListParagraph"/>
        <w:numPr>
          <w:ilvl w:val="0"/>
          <w:numId w:val="6"/>
        </w:numPr>
        <w:ind w:hanging="720"/>
      </w:pPr>
      <w:r>
        <w:t>NELP’s</w:t>
      </w:r>
      <w:r w:rsidR="000676C9">
        <w:t xml:space="preserve"> </w:t>
      </w:r>
      <w:r>
        <w:t xml:space="preserve">risk-mitigation response </w:t>
      </w:r>
      <w:r w:rsidR="000676C9">
        <w:t>is to require a Tran</w:t>
      </w:r>
      <w:r w:rsidR="00FA0D33">
        <w:t xml:space="preserve">slocation Plan for the species, in particular as a response to the likely unavailability of species offsets for the MFL. </w:t>
      </w:r>
    </w:p>
    <w:p w14:paraId="69A0665D" w14:textId="77777777" w:rsidR="0026418B" w:rsidRDefault="0026418B" w:rsidP="009D3296">
      <w:pPr>
        <w:pStyle w:val="ListParagraph"/>
        <w:ind w:hanging="720"/>
      </w:pPr>
    </w:p>
    <w:p w14:paraId="6A1929AC" w14:textId="2EE210CF" w:rsidR="0026418B" w:rsidRDefault="004F31A3" w:rsidP="009D3296">
      <w:pPr>
        <w:pStyle w:val="ListParagraph"/>
        <w:numPr>
          <w:ilvl w:val="0"/>
          <w:numId w:val="6"/>
        </w:numPr>
        <w:ind w:hanging="720"/>
      </w:pPr>
      <w:r>
        <w:t xml:space="preserve">The feasibility of a Translocation Plan as a compensatory measure for the MFL was the subject of extensive expert evidence and testing in cross-examination. In our submission, the conclusion </w:t>
      </w:r>
      <w:r w:rsidR="00E00A6A">
        <w:t>is that</w:t>
      </w:r>
      <w:r>
        <w:t xml:space="preserve"> a proportion of the MFL population affected </w:t>
      </w:r>
      <w:r w:rsidR="00E00A6A">
        <w:t xml:space="preserve">will </w:t>
      </w:r>
      <w:r>
        <w:t>be translocated and</w:t>
      </w:r>
      <w:r w:rsidR="00E00A6A">
        <w:t xml:space="preserve"> may</w:t>
      </w:r>
      <w:r>
        <w:t xml:space="preserve"> survive as a population</w:t>
      </w:r>
      <w:r w:rsidR="00E00A6A">
        <w:t xml:space="preserve">. However, </w:t>
      </w:r>
      <w:r>
        <w:t>there is no evidence th</w:t>
      </w:r>
      <w:r w:rsidR="00E00A6A">
        <w:t>e translocated population can</w:t>
      </w:r>
      <w:r>
        <w:t xml:space="preserve"> be a self-sustaining (reproducing) population. </w:t>
      </w:r>
    </w:p>
    <w:p w14:paraId="626095CE" w14:textId="77777777" w:rsidR="0026418B" w:rsidRDefault="0026418B" w:rsidP="009D3296">
      <w:pPr>
        <w:pStyle w:val="ListParagraph"/>
        <w:ind w:hanging="720"/>
      </w:pPr>
    </w:p>
    <w:p w14:paraId="3BEEB194" w14:textId="4005916E" w:rsidR="0026418B" w:rsidRDefault="00E00A6A" w:rsidP="009D3296">
      <w:pPr>
        <w:pStyle w:val="ListParagraph"/>
        <w:numPr>
          <w:ilvl w:val="0"/>
          <w:numId w:val="6"/>
        </w:numPr>
        <w:ind w:hanging="720"/>
      </w:pPr>
      <w:r>
        <w:t>T</w:t>
      </w:r>
      <w:r w:rsidR="006741AF">
        <w:t xml:space="preserve">here is no evidence </w:t>
      </w:r>
      <w:r>
        <w:t xml:space="preserve">of </w:t>
      </w:r>
      <w:r w:rsidR="006741AF">
        <w:t xml:space="preserve">a translocated population </w:t>
      </w:r>
      <w:r>
        <w:t xml:space="preserve">of MFL </w:t>
      </w:r>
      <w:r w:rsidR="006741AF">
        <w:t>retain</w:t>
      </w:r>
      <w:r>
        <w:t>ing</w:t>
      </w:r>
      <w:r w:rsidR="006741AF">
        <w:t xml:space="preserve"> the essential ecological process of reproduction and maintenance of genetic diversity. In the long-run</w:t>
      </w:r>
      <w:r>
        <w:t>,</w:t>
      </w:r>
      <w:r w:rsidR="006741AF">
        <w:t xml:space="preserve"> this strategy may contribute to </w:t>
      </w:r>
      <w:r>
        <w:t xml:space="preserve">contraction </w:t>
      </w:r>
      <w:r w:rsidR="006F5195">
        <w:t>of the species’</w:t>
      </w:r>
      <w:r w:rsidR="003D22FA">
        <w:t xml:space="preserve"> gene-pool to a point where its viability and persistence in the wild </w:t>
      </w:r>
      <w:r w:rsidR="00930340">
        <w:t xml:space="preserve">is fatally compromised. </w:t>
      </w:r>
    </w:p>
    <w:p w14:paraId="4F1F51C2" w14:textId="77777777" w:rsidR="0026418B" w:rsidRDefault="0026418B" w:rsidP="009D3296">
      <w:pPr>
        <w:pStyle w:val="ListParagraph"/>
        <w:ind w:hanging="720"/>
      </w:pPr>
    </w:p>
    <w:p w14:paraId="32155C44" w14:textId="607851A6" w:rsidR="0026418B" w:rsidRDefault="00DE3B9C" w:rsidP="009D3296">
      <w:pPr>
        <w:pStyle w:val="ListParagraph"/>
        <w:numPr>
          <w:ilvl w:val="0"/>
          <w:numId w:val="6"/>
        </w:numPr>
        <w:ind w:hanging="720"/>
      </w:pPr>
      <w:r>
        <w:t xml:space="preserve">It is not known whether the impact of </w:t>
      </w:r>
      <w:r w:rsidR="00E00A6A">
        <w:t xml:space="preserve">the </w:t>
      </w:r>
      <w:r>
        <w:t xml:space="preserve">NELP </w:t>
      </w:r>
      <w:r w:rsidR="00E00A6A">
        <w:t xml:space="preserve">as </w:t>
      </w:r>
      <w:r>
        <w:t xml:space="preserve">proposed on the Simpson Army Barracks </w:t>
      </w:r>
      <w:r w:rsidR="00E00A6A">
        <w:t>will trigger a</w:t>
      </w:r>
      <w:r>
        <w:t xml:space="preserve"> </w:t>
      </w:r>
      <w:r w:rsidR="00E00A6A">
        <w:t>‘</w:t>
      </w:r>
      <w:r>
        <w:t>tipping point</w:t>
      </w:r>
      <w:r w:rsidR="00E00A6A">
        <w:t>’ in species survival</w:t>
      </w:r>
      <w:r>
        <w:t xml:space="preserve">. </w:t>
      </w:r>
      <w:r w:rsidR="00BE0587">
        <w:t xml:space="preserve">Given the degree of uncertainty and serious or irreversible impacts that may result on MFL, the onus is on the proponent to demonstrate </w:t>
      </w:r>
      <w:r w:rsidR="00D80E45">
        <w:t>measures that w</w:t>
      </w:r>
      <w:r w:rsidR="00E00A6A">
        <w:t>ill</w:t>
      </w:r>
      <w:r w:rsidR="00D80E45">
        <w:t xml:space="preserve"> protect and conserve the species. </w:t>
      </w:r>
      <w:r w:rsidR="00A0224F">
        <w:t xml:space="preserve">It cannot be said </w:t>
      </w:r>
      <w:r w:rsidR="002D312D">
        <w:t xml:space="preserve">with any degree of confidence </w:t>
      </w:r>
      <w:r w:rsidR="00A0224F">
        <w:t xml:space="preserve">that </w:t>
      </w:r>
      <w:r w:rsidR="002D312D">
        <w:t>such measures are</w:t>
      </w:r>
      <w:r w:rsidR="00A0224F">
        <w:t xml:space="preserve"> available. </w:t>
      </w:r>
    </w:p>
    <w:p w14:paraId="788170EB" w14:textId="77777777" w:rsidR="0026418B" w:rsidRDefault="0026418B" w:rsidP="009D3296">
      <w:pPr>
        <w:pStyle w:val="ListParagraph"/>
        <w:ind w:hanging="720"/>
      </w:pPr>
    </w:p>
    <w:p w14:paraId="489859DD" w14:textId="16423E9A" w:rsidR="0026418B" w:rsidRDefault="008732E5" w:rsidP="009D3296">
      <w:pPr>
        <w:pStyle w:val="ListParagraph"/>
        <w:numPr>
          <w:ilvl w:val="0"/>
          <w:numId w:val="6"/>
        </w:numPr>
        <w:ind w:hanging="720"/>
      </w:pPr>
      <w:r>
        <w:t xml:space="preserve">Given the possibility of </w:t>
      </w:r>
      <w:r w:rsidR="00464DA2">
        <w:t xml:space="preserve">exacerbated risks of extinction for </w:t>
      </w:r>
      <w:r>
        <w:t>threatened species and endangered vegetation typ</w:t>
      </w:r>
      <w:r w:rsidR="00464DA2">
        <w:t xml:space="preserve">es as a consequence of land clearing at Simpson Army Barracks, it is our submission that the </w:t>
      </w:r>
      <w:r w:rsidR="00E00A6A">
        <w:t xml:space="preserve">impacts arising from the NELP </w:t>
      </w:r>
      <w:r w:rsidR="00464DA2">
        <w:t xml:space="preserve">Reference Design at this site </w:t>
      </w:r>
      <w:r w:rsidR="007B378F">
        <w:t>are</w:t>
      </w:r>
      <w:r w:rsidR="00464DA2">
        <w:t xml:space="preserve"> unacceptable. </w:t>
      </w:r>
    </w:p>
    <w:p w14:paraId="17BC41BD" w14:textId="77777777" w:rsidR="0026418B" w:rsidRDefault="0026418B" w:rsidP="009D3296">
      <w:pPr>
        <w:pStyle w:val="ListParagraph"/>
        <w:ind w:hanging="720"/>
      </w:pPr>
    </w:p>
    <w:p w14:paraId="533A7B81" w14:textId="6D578F69" w:rsidR="0026418B" w:rsidRDefault="008D4CD4" w:rsidP="009D3296">
      <w:pPr>
        <w:pStyle w:val="ListParagraph"/>
        <w:numPr>
          <w:ilvl w:val="0"/>
          <w:numId w:val="6"/>
        </w:numPr>
        <w:ind w:hanging="720"/>
      </w:pPr>
      <w:r>
        <w:t>Consideration should be given to amendment of the NELP design to avoid the ‘cut and cover’ tunnelling technique or t</w:t>
      </w:r>
      <w:r w:rsidR="007B378F">
        <w:t xml:space="preserve">o </w:t>
      </w:r>
      <w:r>
        <w:t>adjust the project footprint further to the west, as noted in Dr Lorimer’s expert report.</w:t>
      </w:r>
      <w:r>
        <w:rPr>
          <w:rStyle w:val="FootnoteReference"/>
        </w:rPr>
        <w:footnoteReference w:id="70"/>
      </w:r>
    </w:p>
    <w:p w14:paraId="05A0E1D4" w14:textId="77777777" w:rsidR="0026418B" w:rsidRDefault="0026418B" w:rsidP="009D3296">
      <w:pPr>
        <w:pStyle w:val="ListParagraph"/>
        <w:ind w:hanging="720"/>
      </w:pPr>
    </w:p>
    <w:p w14:paraId="02B27DA0" w14:textId="77777777" w:rsidR="0026418B" w:rsidRDefault="004A0601" w:rsidP="009D3296">
      <w:pPr>
        <w:pStyle w:val="ListParagraph"/>
        <w:numPr>
          <w:ilvl w:val="0"/>
          <w:numId w:val="6"/>
        </w:numPr>
        <w:ind w:hanging="720"/>
      </w:pPr>
      <w:r>
        <w:t>In effect, Simpson Army Barracks should be considered a no-go zone.</w:t>
      </w:r>
    </w:p>
    <w:p w14:paraId="148A2152" w14:textId="77777777" w:rsidR="0026418B" w:rsidRDefault="0026418B" w:rsidP="009D3296">
      <w:pPr>
        <w:pStyle w:val="ListParagraph"/>
        <w:ind w:hanging="720"/>
      </w:pPr>
    </w:p>
    <w:p w14:paraId="46A9E145" w14:textId="10CD52EF" w:rsidR="0026418B" w:rsidRDefault="004A0601" w:rsidP="009D3296">
      <w:pPr>
        <w:pStyle w:val="ListParagraph"/>
        <w:numPr>
          <w:ilvl w:val="0"/>
          <w:numId w:val="6"/>
        </w:numPr>
        <w:ind w:hanging="720"/>
      </w:pPr>
      <w:r>
        <w:t xml:space="preserve">Alternatives to cut and cover tunnelling, including </w:t>
      </w:r>
      <w:r w:rsidR="007B378F">
        <w:t xml:space="preserve">bored </w:t>
      </w:r>
      <w:r>
        <w:t xml:space="preserve">tunnelling further to the north and under Simpson Army Barracks need to be given greater weight and consideration. </w:t>
      </w:r>
    </w:p>
    <w:p w14:paraId="2F576981" w14:textId="77777777" w:rsidR="00A50BD9" w:rsidRDefault="00A50BD9" w:rsidP="009D3296">
      <w:pPr>
        <w:pStyle w:val="ListParagraph"/>
      </w:pPr>
    </w:p>
    <w:p w14:paraId="64DD3B33" w14:textId="5A4ABFD7" w:rsidR="0026418B" w:rsidRPr="0026418B" w:rsidRDefault="0026418B" w:rsidP="009D3296">
      <w:pPr>
        <w:pStyle w:val="Heading2"/>
      </w:pPr>
      <w:bookmarkStart w:id="26" w:name="_Toc18573015"/>
      <w:bookmarkStart w:id="27" w:name="_Toc18592028"/>
      <w:r w:rsidRPr="0026418B">
        <w:lastRenderedPageBreak/>
        <w:t xml:space="preserve">Impacts on the </w:t>
      </w:r>
      <w:r w:rsidR="00AF0CE2">
        <w:t>u</w:t>
      </w:r>
      <w:r w:rsidRPr="0026418B">
        <w:t xml:space="preserve">rban </w:t>
      </w:r>
      <w:r w:rsidR="00AF0CE2">
        <w:t>e</w:t>
      </w:r>
      <w:r w:rsidRPr="0026418B">
        <w:t>cology, including native vegetation, ‘amenity’ vegetation and threatened species</w:t>
      </w:r>
      <w:bookmarkEnd w:id="26"/>
      <w:bookmarkEnd w:id="27"/>
    </w:p>
    <w:p w14:paraId="41745A22" w14:textId="77777777" w:rsidR="00E31F04" w:rsidRDefault="00E31F04" w:rsidP="009D3296"/>
    <w:p w14:paraId="36F4F560" w14:textId="6A1BA420" w:rsidR="0026418B" w:rsidRPr="0026418B" w:rsidRDefault="0026418B" w:rsidP="009D3296">
      <w:pPr>
        <w:pStyle w:val="Heading3"/>
      </w:pPr>
      <w:bookmarkStart w:id="28" w:name="_Toc18573016"/>
      <w:bookmarkStart w:id="29" w:name="_Toc18592029"/>
      <w:r w:rsidRPr="005009A5">
        <w:t>Native vegetation, avoidance and offsets</w:t>
      </w:r>
      <w:bookmarkEnd w:id="28"/>
      <w:bookmarkEnd w:id="29"/>
    </w:p>
    <w:p w14:paraId="2A0D4CA9" w14:textId="77777777" w:rsidR="0026418B" w:rsidRDefault="0026418B" w:rsidP="009D3296">
      <w:pPr>
        <w:pStyle w:val="ListParagraph"/>
        <w:ind w:left="0"/>
      </w:pPr>
    </w:p>
    <w:p w14:paraId="344CD4AC" w14:textId="25A2AE06" w:rsidR="00AF0EB4" w:rsidRDefault="009E5FF7" w:rsidP="009D3296">
      <w:pPr>
        <w:pStyle w:val="ListParagraph"/>
        <w:numPr>
          <w:ilvl w:val="0"/>
          <w:numId w:val="6"/>
        </w:numPr>
        <w:ind w:hanging="720"/>
      </w:pPr>
      <w:r>
        <w:t>The impacts of the NELP on native vegetation and habitat are patently excessive and unacceptable. There will be significant losses of native vegetation and habitat across the Project Area. Consider</w:t>
      </w:r>
      <w:r w:rsidR="0031085A">
        <w:t>ed</w:t>
      </w:r>
      <w:r>
        <w:t xml:space="preserve"> alongside other development projects</w:t>
      </w:r>
      <w:r w:rsidR="0031085A">
        <w:t xml:space="preserve">, the </w:t>
      </w:r>
      <w:r>
        <w:t>NELP is contributing to a reduction in tree cover, vegetation condition and habitat value across Melbourne.</w:t>
      </w:r>
      <w:r>
        <w:rPr>
          <w:rStyle w:val="FootnoteReference"/>
        </w:rPr>
        <w:footnoteReference w:id="71"/>
      </w:r>
    </w:p>
    <w:p w14:paraId="02878F6C" w14:textId="77777777" w:rsidR="00AF0EB4" w:rsidRDefault="00AF0EB4" w:rsidP="009D3296">
      <w:pPr>
        <w:pStyle w:val="ListParagraph"/>
        <w:ind w:hanging="720"/>
      </w:pPr>
    </w:p>
    <w:p w14:paraId="4EDA540F" w14:textId="6D75EC45" w:rsidR="004E438C" w:rsidRDefault="007E6994" w:rsidP="009D3296">
      <w:pPr>
        <w:pStyle w:val="ListParagraph"/>
        <w:numPr>
          <w:ilvl w:val="0"/>
          <w:numId w:val="6"/>
        </w:numPr>
        <w:ind w:hanging="720"/>
      </w:pPr>
      <w:r>
        <w:t>The EES understates or misstates the value and nature of native vegetation impacted by failing to appropriately</w:t>
      </w:r>
      <w:r w:rsidR="007C5378">
        <w:t xml:space="preserve"> assess</w:t>
      </w:r>
      <w:r>
        <w:t xml:space="preserve"> </w:t>
      </w:r>
      <w:r w:rsidR="007C5378">
        <w:t xml:space="preserve">the </w:t>
      </w:r>
      <w:r>
        <w:t xml:space="preserve">impacts on Endangered EVCs, which comprise most of the native vegetation affected. </w:t>
      </w:r>
    </w:p>
    <w:p w14:paraId="273ABBF1" w14:textId="77777777" w:rsidR="004E438C" w:rsidRDefault="004E438C" w:rsidP="009D3296">
      <w:pPr>
        <w:pStyle w:val="ListParagraph"/>
      </w:pPr>
    </w:p>
    <w:p w14:paraId="34284B39" w14:textId="220AA43A" w:rsidR="00AF0EB4" w:rsidRDefault="007C5378" w:rsidP="009D3296">
      <w:pPr>
        <w:pStyle w:val="ListParagraph"/>
        <w:numPr>
          <w:ilvl w:val="0"/>
          <w:numId w:val="6"/>
        </w:numPr>
        <w:ind w:hanging="720"/>
      </w:pPr>
      <w:r>
        <w:t xml:space="preserve">Indeed, most participants in the Conclave Meeting of Ecology Experts agreed that the assessment of the initial </w:t>
      </w:r>
      <w:r w:rsidRPr="00E919CB">
        <w:t>and</w:t>
      </w:r>
      <w:r>
        <w:t xml:space="preserve"> subsequent severity of the risk with respect to ‘l</w:t>
      </w:r>
      <w:r w:rsidR="004E438C">
        <w:t>and clearing during construction impacting non-threatened flora and ecological communities</w:t>
      </w:r>
      <w:r>
        <w:t>’ (ESO2) ‘should not have been recorded as low’ and that ‘the overall consequence should have been recorded as very high’</w:t>
      </w:r>
      <w:r w:rsidR="004E438C">
        <w:t>.</w:t>
      </w:r>
      <w:r>
        <w:rPr>
          <w:rStyle w:val="FootnoteReference"/>
        </w:rPr>
        <w:footnoteReference w:id="72"/>
      </w:r>
    </w:p>
    <w:p w14:paraId="01FD6106" w14:textId="77777777" w:rsidR="00AF0EB4" w:rsidRDefault="00AF0EB4" w:rsidP="009D3296">
      <w:pPr>
        <w:pStyle w:val="ListParagraph"/>
        <w:ind w:left="0"/>
      </w:pPr>
    </w:p>
    <w:p w14:paraId="7D944470" w14:textId="77777777" w:rsidR="00AF0EB4" w:rsidRDefault="00E273FB" w:rsidP="009D3296">
      <w:pPr>
        <w:pStyle w:val="ListParagraph"/>
        <w:numPr>
          <w:ilvl w:val="0"/>
          <w:numId w:val="6"/>
        </w:numPr>
        <w:ind w:hanging="720"/>
      </w:pPr>
      <w:r>
        <w:t>Application of clause</w:t>
      </w:r>
      <w:r w:rsidR="00EF49A2">
        <w:t xml:space="preserve"> 12.01-2S (Native Vegetation) of the VPPs is clearly </w:t>
      </w:r>
      <w:r w:rsidR="00A368D3">
        <w:t xml:space="preserve">applicable </w:t>
      </w:r>
      <w:r w:rsidR="00EF49A2">
        <w:t xml:space="preserve">and important to </w:t>
      </w:r>
      <w:r w:rsidR="00CE123F">
        <w:t xml:space="preserve">an acceptable planning outcome, </w:t>
      </w:r>
      <w:r w:rsidR="00A368D3">
        <w:t xml:space="preserve">including consideration of the relevant Guidelines and </w:t>
      </w:r>
      <w:r w:rsidR="00192C90">
        <w:t xml:space="preserve">the </w:t>
      </w:r>
      <w:r w:rsidR="00A368D3">
        <w:t xml:space="preserve">Assessors’ Handbook. </w:t>
      </w:r>
    </w:p>
    <w:p w14:paraId="3C12709A" w14:textId="77777777" w:rsidR="00AF0EB4" w:rsidRDefault="00AF0EB4" w:rsidP="009D3296">
      <w:pPr>
        <w:pStyle w:val="ListParagraph"/>
        <w:ind w:hanging="720"/>
      </w:pPr>
    </w:p>
    <w:p w14:paraId="42E540D7" w14:textId="4A027DB0" w:rsidR="00AF0EB4" w:rsidRDefault="005009A5" w:rsidP="009D3296">
      <w:pPr>
        <w:pStyle w:val="ListParagraph"/>
        <w:numPr>
          <w:ilvl w:val="0"/>
          <w:numId w:val="6"/>
        </w:numPr>
        <w:ind w:hanging="720"/>
      </w:pPr>
      <w:r>
        <w:t>Planning policy on native vegetation removal applies the avoidance hierarchy.</w:t>
      </w:r>
      <w:r w:rsidR="005A6621">
        <w:t xml:space="preserve"> </w:t>
      </w:r>
      <w:r w:rsidR="006159C3">
        <w:t>As set out in</w:t>
      </w:r>
      <w:r w:rsidR="00314B9F">
        <w:t xml:space="preserve"> the </w:t>
      </w:r>
      <w:r w:rsidR="00314B9F" w:rsidRPr="006159C3">
        <w:rPr>
          <w:i/>
        </w:rPr>
        <w:t>Assessor</w:t>
      </w:r>
      <w:r w:rsidR="006159C3" w:rsidRPr="006159C3">
        <w:rPr>
          <w:i/>
        </w:rPr>
        <w:t xml:space="preserve">’s </w:t>
      </w:r>
      <w:r w:rsidR="00314B9F" w:rsidRPr="006159C3">
        <w:rPr>
          <w:i/>
        </w:rPr>
        <w:t>Handbook</w:t>
      </w:r>
      <w:r w:rsidR="006159C3">
        <w:t xml:space="preserve"> </w:t>
      </w:r>
      <w:r w:rsidR="006159C3">
        <w:rPr>
          <w:i/>
        </w:rPr>
        <w:t>for Applications to remove, destroy or lop native vegetation,</w:t>
      </w:r>
      <w:r w:rsidR="00314B9F">
        <w:rPr>
          <w:rStyle w:val="FootnoteReference"/>
        </w:rPr>
        <w:footnoteReference w:id="73"/>
      </w:r>
      <w:r w:rsidR="00314B9F">
        <w:t xml:space="preserve"> </w:t>
      </w:r>
      <w:r w:rsidR="006159C3">
        <w:t>p</w:t>
      </w:r>
      <w:r w:rsidR="00314B9F">
        <w:t>roposals are required to</w:t>
      </w:r>
      <w:r w:rsidR="00AF0EB4">
        <w:t>:</w:t>
      </w:r>
      <w:r w:rsidR="00314B9F">
        <w:t xml:space="preserve"> </w:t>
      </w:r>
    </w:p>
    <w:p w14:paraId="1405D6BB" w14:textId="77777777" w:rsidR="00AF0EB4" w:rsidRDefault="00AF0EB4" w:rsidP="00AF0EB4">
      <w:pPr>
        <w:pStyle w:val="ListParagraph"/>
      </w:pPr>
    </w:p>
    <w:p w14:paraId="470846A6" w14:textId="6C534A97" w:rsidR="00AF0EB4" w:rsidRPr="00AF0EB4" w:rsidRDefault="00AF0EB4" w:rsidP="00AF0EB4">
      <w:pPr>
        <w:pStyle w:val="ListParagraph"/>
        <w:ind w:left="1440"/>
        <w:rPr>
          <w:sz w:val="20"/>
          <w:szCs w:val="20"/>
        </w:rPr>
      </w:pPr>
      <w:r w:rsidRPr="00314B9F">
        <w:rPr>
          <w:sz w:val="20"/>
          <w:szCs w:val="20"/>
        </w:rPr>
        <w:t>demonstrate or provide evidence to show no options exist to further avoid and minimise native vegetation removal without undermining the objectives of the proposal. The avoid and minimise statement should include… what has been done at the site to avoid and minimise impacts and that nothing more can be done without undermining the proposal. The effort to avoid the removal of, and minimise impacts on, native vegetation should be commensurate with the biodiversity and other values of the native vegetation and should focus on areas of native vegetation that have the most value.</w:t>
      </w:r>
    </w:p>
    <w:p w14:paraId="6FF53D90" w14:textId="77777777" w:rsidR="00AF0EB4" w:rsidRDefault="00AF0EB4" w:rsidP="00AF0EB4">
      <w:pPr>
        <w:pStyle w:val="ListParagraph"/>
      </w:pPr>
    </w:p>
    <w:p w14:paraId="0363CA04" w14:textId="136E3718" w:rsidR="00AF0EB4" w:rsidRDefault="007C5378" w:rsidP="009D3296">
      <w:pPr>
        <w:pStyle w:val="ListParagraph"/>
        <w:numPr>
          <w:ilvl w:val="0"/>
          <w:numId w:val="6"/>
        </w:numPr>
        <w:ind w:hanging="720"/>
      </w:pPr>
      <w:r>
        <w:t xml:space="preserve">Application of the avoidance hierarchy requires a balancing </w:t>
      </w:r>
      <w:r w:rsidR="00BD4725">
        <w:t xml:space="preserve">of the native vegetation at issue, </w:t>
      </w:r>
      <w:r w:rsidR="009F310E">
        <w:t>a proportionate rigour in</w:t>
      </w:r>
      <w:r w:rsidR="00BD4725">
        <w:t xml:space="preserve"> design options, and the overall objectives of the proposal. </w:t>
      </w:r>
    </w:p>
    <w:p w14:paraId="26499F32" w14:textId="77777777" w:rsidR="00AF0EB4" w:rsidRDefault="00AF0EB4" w:rsidP="009D3296">
      <w:pPr>
        <w:pStyle w:val="ListParagraph"/>
        <w:ind w:hanging="720"/>
      </w:pPr>
    </w:p>
    <w:p w14:paraId="2E959E3A" w14:textId="2B548366" w:rsidR="00AF0EB4" w:rsidRDefault="002C6EAC" w:rsidP="009D3296">
      <w:pPr>
        <w:pStyle w:val="ListParagraph"/>
        <w:numPr>
          <w:ilvl w:val="0"/>
          <w:numId w:val="6"/>
        </w:numPr>
        <w:ind w:hanging="720"/>
      </w:pPr>
      <w:r>
        <w:lastRenderedPageBreak/>
        <w:t xml:space="preserve">The highest value native vegetation </w:t>
      </w:r>
      <w:r w:rsidR="007C5378">
        <w:t xml:space="preserve">impacted by the NELP </w:t>
      </w:r>
      <w:r>
        <w:t xml:space="preserve">is associated with Endangered EVCs </w:t>
      </w:r>
      <w:r w:rsidR="00953FE9">
        <w:t xml:space="preserve">and rare or threatened species, especially at Simpson Barracks and along the Eastern Freeway. </w:t>
      </w:r>
      <w:r w:rsidR="004C5CF2">
        <w:t>This native vegetation is to be</w:t>
      </w:r>
      <w:r w:rsidR="00953FE9">
        <w:t xml:space="preserve"> accorded higher value under the </w:t>
      </w:r>
      <w:r w:rsidR="00953FE9" w:rsidRPr="006159C3">
        <w:rPr>
          <w:i/>
        </w:rPr>
        <w:t>Assessor</w:t>
      </w:r>
      <w:r w:rsidR="006159C3" w:rsidRPr="006159C3">
        <w:rPr>
          <w:i/>
        </w:rPr>
        <w:t>’s</w:t>
      </w:r>
      <w:r w:rsidR="00953FE9" w:rsidRPr="006159C3">
        <w:rPr>
          <w:i/>
        </w:rPr>
        <w:t xml:space="preserve"> Handbook</w:t>
      </w:r>
      <w:r w:rsidR="00953FE9">
        <w:t>.</w:t>
      </w:r>
      <w:r w:rsidR="00953FE9">
        <w:rPr>
          <w:rStyle w:val="FootnoteReference"/>
        </w:rPr>
        <w:footnoteReference w:id="74"/>
      </w:r>
    </w:p>
    <w:p w14:paraId="3CE3D9AF" w14:textId="77777777" w:rsidR="00AF0EB4" w:rsidRDefault="00AF0EB4" w:rsidP="009D3296">
      <w:pPr>
        <w:pStyle w:val="ListParagraph"/>
        <w:ind w:hanging="720"/>
      </w:pPr>
    </w:p>
    <w:p w14:paraId="59D67F96" w14:textId="77777777" w:rsidR="00AF0EB4" w:rsidRDefault="001833DB" w:rsidP="009D3296">
      <w:pPr>
        <w:pStyle w:val="ListParagraph"/>
        <w:numPr>
          <w:ilvl w:val="0"/>
          <w:numId w:val="6"/>
        </w:numPr>
        <w:ind w:hanging="720"/>
      </w:pPr>
      <w:r>
        <w:t xml:space="preserve">The objective of the NELP remains high level </w:t>
      </w:r>
      <w:r w:rsidR="00942B09">
        <w:t>at this Reference Design stage. As the opening text of the Project Description states:</w:t>
      </w:r>
    </w:p>
    <w:p w14:paraId="14E98DBD" w14:textId="77777777" w:rsidR="00AF0EB4" w:rsidRDefault="00AF0EB4" w:rsidP="00AF0EB4">
      <w:pPr>
        <w:pStyle w:val="ListParagraph"/>
      </w:pPr>
    </w:p>
    <w:p w14:paraId="2989B10F" w14:textId="77777777" w:rsidR="00AF0EB4" w:rsidRPr="00942B09" w:rsidRDefault="00AF0EB4" w:rsidP="00AF0EB4">
      <w:pPr>
        <w:autoSpaceDE w:val="0"/>
        <w:autoSpaceDN w:val="0"/>
        <w:adjustRightInd w:val="0"/>
        <w:spacing w:after="0" w:line="240" w:lineRule="auto"/>
        <w:ind w:left="1440"/>
        <w:rPr>
          <w:rFonts w:cstheme="minorHAnsi"/>
        </w:rPr>
      </w:pPr>
      <w:r w:rsidRPr="00942B09">
        <w:rPr>
          <w:rFonts w:cstheme="minorHAnsi"/>
          <w:sz w:val="20"/>
          <w:szCs w:val="20"/>
        </w:rPr>
        <w:t>North East Link is a proposed new freeway-standard road connection that would complete the</w:t>
      </w:r>
      <w:r>
        <w:rPr>
          <w:rFonts w:cstheme="minorHAnsi"/>
          <w:sz w:val="20"/>
          <w:szCs w:val="20"/>
        </w:rPr>
        <w:t xml:space="preserve"> </w:t>
      </w:r>
      <w:r w:rsidRPr="00942B09">
        <w:rPr>
          <w:rFonts w:cstheme="minorHAnsi"/>
          <w:sz w:val="20"/>
          <w:szCs w:val="20"/>
        </w:rPr>
        <w:t>missing link in Melbourne’s Metropolitan Ring Road, giving the city a fully completed orbital</w:t>
      </w:r>
      <w:r>
        <w:rPr>
          <w:rFonts w:cstheme="minorHAnsi"/>
          <w:sz w:val="20"/>
          <w:szCs w:val="20"/>
        </w:rPr>
        <w:t xml:space="preserve"> </w:t>
      </w:r>
      <w:r w:rsidRPr="00942B09">
        <w:rPr>
          <w:rFonts w:cstheme="minorHAnsi"/>
          <w:sz w:val="20"/>
          <w:szCs w:val="20"/>
        </w:rPr>
        <w:t>connection. North East Link would include a new north-south motorway to connect the M80 Ring</w:t>
      </w:r>
      <w:r>
        <w:rPr>
          <w:rFonts w:cstheme="minorHAnsi"/>
          <w:sz w:val="20"/>
          <w:szCs w:val="20"/>
        </w:rPr>
        <w:t xml:space="preserve"> </w:t>
      </w:r>
      <w:r w:rsidRPr="00942B09">
        <w:rPr>
          <w:rFonts w:cstheme="minorHAnsi"/>
          <w:sz w:val="20"/>
          <w:szCs w:val="20"/>
        </w:rPr>
        <w:t>Road (otherwise known as the Metropolitan Ring Road) to the Eastern Freeway, and also includes</w:t>
      </w:r>
      <w:r>
        <w:rPr>
          <w:rFonts w:cstheme="minorHAnsi"/>
          <w:sz w:val="20"/>
          <w:szCs w:val="20"/>
        </w:rPr>
        <w:t xml:space="preserve"> </w:t>
      </w:r>
      <w:r w:rsidRPr="00942B09">
        <w:rPr>
          <w:rFonts w:cstheme="minorHAnsi"/>
          <w:sz w:val="20"/>
          <w:szCs w:val="20"/>
        </w:rPr>
        <w:t>upgrades to the Eastern Freeway.</w:t>
      </w:r>
    </w:p>
    <w:p w14:paraId="208F9004" w14:textId="77777777" w:rsidR="00AF0EB4" w:rsidRDefault="00AF0EB4" w:rsidP="00AF0EB4">
      <w:pPr>
        <w:pStyle w:val="ListParagraph"/>
      </w:pPr>
    </w:p>
    <w:p w14:paraId="11FE4183" w14:textId="0E21928E" w:rsidR="00AF0EB4" w:rsidRDefault="0058533B" w:rsidP="009D3296">
      <w:pPr>
        <w:pStyle w:val="ListParagraph"/>
        <w:numPr>
          <w:ilvl w:val="0"/>
          <w:numId w:val="6"/>
        </w:numPr>
        <w:ind w:hanging="720"/>
      </w:pPr>
      <w:r>
        <w:t xml:space="preserve">The </w:t>
      </w:r>
      <w:r w:rsidR="007C5378">
        <w:t xml:space="preserve">policy guidance in the </w:t>
      </w:r>
      <w:r w:rsidR="007C5378" w:rsidRPr="006159C3">
        <w:rPr>
          <w:i/>
        </w:rPr>
        <w:t>Assessor</w:t>
      </w:r>
      <w:r w:rsidR="006159C3" w:rsidRPr="006159C3">
        <w:rPr>
          <w:i/>
        </w:rPr>
        <w:t>’s</w:t>
      </w:r>
      <w:r w:rsidR="007C5378" w:rsidRPr="006159C3">
        <w:rPr>
          <w:i/>
        </w:rPr>
        <w:t xml:space="preserve"> Handbook</w:t>
      </w:r>
      <w:r w:rsidR="007C5378">
        <w:t xml:space="preserve"> is emphatic that avoidance requires that no other options are available and nothing more can be done. The </w:t>
      </w:r>
      <w:r>
        <w:t xml:space="preserve">approach is intended to be a precautionary one, </w:t>
      </w:r>
      <w:r w:rsidR="008E04B4">
        <w:t xml:space="preserve">now linked via the policy framework of </w:t>
      </w:r>
      <w:r w:rsidR="008E04B4" w:rsidRPr="009D3296">
        <w:rPr>
          <w:i/>
        </w:rPr>
        <w:t>Biodiversity 2037,</w:t>
      </w:r>
      <w:r w:rsidR="008E04B4">
        <w:t xml:space="preserve"> to achievement of an overall ‘net gain’ in habitat and environmental health.</w:t>
      </w:r>
    </w:p>
    <w:p w14:paraId="1077DD91" w14:textId="77777777" w:rsidR="00AF0EB4" w:rsidRDefault="00AF0EB4" w:rsidP="009D3296">
      <w:pPr>
        <w:pStyle w:val="ListParagraph"/>
        <w:ind w:left="0"/>
      </w:pPr>
    </w:p>
    <w:p w14:paraId="37919597" w14:textId="2D69809D" w:rsidR="00AF0EB4" w:rsidRDefault="009749FC" w:rsidP="009D3296">
      <w:pPr>
        <w:pStyle w:val="ListParagraph"/>
        <w:numPr>
          <w:ilvl w:val="0"/>
          <w:numId w:val="6"/>
        </w:numPr>
        <w:ind w:hanging="720"/>
      </w:pPr>
      <w:r>
        <w:t>We submit that exploration of avoidance efforts to date are not sufficient</w:t>
      </w:r>
      <w:r w:rsidR="007C5378">
        <w:t>.</w:t>
      </w:r>
      <w:r>
        <w:t xml:space="preserve"> </w:t>
      </w:r>
      <w:r w:rsidR="007D61F4">
        <w:t xml:space="preserve">A robust </w:t>
      </w:r>
      <w:r w:rsidR="00EE60FF">
        <w:t xml:space="preserve">and proportionate </w:t>
      </w:r>
      <w:r w:rsidR="007D61F4">
        <w:t xml:space="preserve">calculus of avoidance has not been applied. </w:t>
      </w:r>
      <w:r w:rsidR="007C5378">
        <w:t>In particular:</w:t>
      </w:r>
    </w:p>
    <w:p w14:paraId="7D2C197C" w14:textId="77777777" w:rsidR="007C5378" w:rsidRDefault="007C5378" w:rsidP="009D3296">
      <w:pPr>
        <w:pStyle w:val="ListParagraph"/>
      </w:pPr>
    </w:p>
    <w:p w14:paraId="71F84B36" w14:textId="7CF38D56" w:rsidR="00AF0EB4" w:rsidRDefault="00CB5CAC" w:rsidP="009D3296">
      <w:pPr>
        <w:pStyle w:val="ListParagraph"/>
        <w:numPr>
          <w:ilvl w:val="1"/>
          <w:numId w:val="6"/>
        </w:numPr>
      </w:pPr>
      <w:r>
        <w:t>t</w:t>
      </w:r>
      <w:r w:rsidR="00AF0EB4">
        <w:t>he extent and conservation status of native vegetation affected requires far greater consideration of these values in project design</w:t>
      </w:r>
      <w:r>
        <w:t>;</w:t>
      </w:r>
    </w:p>
    <w:p w14:paraId="5D6A5B9D" w14:textId="77777777" w:rsidR="00AF0EB4" w:rsidRDefault="00AF0EB4" w:rsidP="00AF0EB4">
      <w:pPr>
        <w:pStyle w:val="ListParagraph"/>
        <w:ind w:left="1440"/>
      </w:pPr>
    </w:p>
    <w:p w14:paraId="54497FC2" w14:textId="678A3EBE" w:rsidR="00AF0EB4" w:rsidRDefault="00CB5CAC" w:rsidP="009D3296">
      <w:pPr>
        <w:pStyle w:val="ListParagraph"/>
        <w:numPr>
          <w:ilvl w:val="1"/>
          <w:numId w:val="6"/>
        </w:numPr>
      </w:pPr>
      <w:r>
        <w:t>t</w:t>
      </w:r>
      <w:r w:rsidR="00AF0EB4">
        <w:t>he scale and resources at the disposal of the NELP demand far more robust, multidisciplinary and transparent exploration of design options in relation to impacts on high value native vegetation</w:t>
      </w:r>
      <w:r>
        <w:t>;</w:t>
      </w:r>
    </w:p>
    <w:p w14:paraId="22B71AA2" w14:textId="77777777" w:rsidR="00AF0EB4" w:rsidRDefault="00AF0EB4" w:rsidP="00AF0EB4">
      <w:pPr>
        <w:pStyle w:val="ListParagraph"/>
        <w:ind w:left="1440"/>
      </w:pPr>
    </w:p>
    <w:p w14:paraId="65857491" w14:textId="3DEBCB90" w:rsidR="00AF0EB4" w:rsidRDefault="00CB5CAC" w:rsidP="009D3296">
      <w:pPr>
        <w:pStyle w:val="ListParagraph"/>
        <w:numPr>
          <w:ilvl w:val="1"/>
          <w:numId w:val="6"/>
        </w:numPr>
      </w:pPr>
      <w:r>
        <w:t xml:space="preserve">the evidence of </w:t>
      </w:r>
      <w:r w:rsidR="00AF0EB4">
        <w:t xml:space="preserve">Dr Lorimer poses real questions on </w:t>
      </w:r>
      <w:r>
        <w:t xml:space="preserve">the </w:t>
      </w:r>
      <w:r w:rsidR="00AF0EB4">
        <w:t>scope for further avoidance in relation to Simpson Army Barracks, loss of the ‘Caltex Tree’ and loss of vegetation along the Eastern Freeway.</w:t>
      </w:r>
      <w:r w:rsidR="00AF0EB4">
        <w:rPr>
          <w:rStyle w:val="FootnoteReference"/>
        </w:rPr>
        <w:footnoteReference w:id="75"/>
      </w:r>
      <w:r w:rsidR="00AF0EB4">
        <w:t xml:space="preserve"> Concurrently, real questions remain around the need for expansion of the Eastern Freeway along the </w:t>
      </w:r>
      <w:proofErr w:type="spellStart"/>
      <w:r w:rsidR="00AF0EB4">
        <w:t>Koonung</w:t>
      </w:r>
      <w:proofErr w:type="spellEnd"/>
      <w:r w:rsidR="00AF0EB4">
        <w:t xml:space="preserve"> Creek corridor, and whether there are alternative tunnel designs with lesser surface impact. </w:t>
      </w:r>
    </w:p>
    <w:p w14:paraId="4BD5D5F6" w14:textId="77777777" w:rsidR="00AF0EB4" w:rsidRDefault="00AF0EB4" w:rsidP="00AF0EB4">
      <w:pPr>
        <w:pStyle w:val="ListParagraph"/>
      </w:pPr>
    </w:p>
    <w:p w14:paraId="657E1ECC" w14:textId="2208E5AC" w:rsidR="00AF0EB4" w:rsidRDefault="00AF0EB4" w:rsidP="009D3296">
      <w:pPr>
        <w:pStyle w:val="ListParagraph"/>
        <w:numPr>
          <w:ilvl w:val="0"/>
          <w:numId w:val="6"/>
        </w:numPr>
        <w:ind w:hanging="720"/>
      </w:pPr>
      <w:r>
        <w:t xml:space="preserve">The onus is on NELP to show that the Reference Design, within the high level objective, cannot achieve further avoidance. They have not discharged that onus. </w:t>
      </w:r>
    </w:p>
    <w:p w14:paraId="07CD0F06" w14:textId="77777777" w:rsidR="00AF0EB4" w:rsidRDefault="00AF0EB4" w:rsidP="00AF0EB4">
      <w:pPr>
        <w:pStyle w:val="ListParagraph"/>
      </w:pPr>
    </w:p>
    <w:p w14:paraId="76D70F85" w14:textId="53C40EB8" w:rsidR="00AF0EB4" w:rsidRDefault="00F31B67" w:rsidP="009D3296">
      <w:pPr>
        <w:pStyle w:val="ListParagraph"/>
        <w:numPr>
          <w:ilvl w:val="0"/>
          <w:numId w:val="6"/>
        </w:numPr>
        <w:ind w:hanging="720"/>
      </w:pPr>
      <w:r>
        <w:t xml:space="preserve">Further efforts of avoidance of native vegetation loss </w:t>
      </w:r>
      <w:r w:rsidR="00986AF0">
        <w:t>are</w:t>
      </w:r>
      <w:r w:rsidR="00CB5CAC">
        <w:t xml:space="preserve"> also</w:t>
      </w:r>
      <w:r w:rsidR="00986AF0">
        <w:t xml:space="preserve"> warranted because of the problematic </w:t>
      </w:r>
      <w:r w:rsidR="002244B2">
        <w:t xml:space="preserve">and </w:t>
      </w:r>
      <w:r w:rsidR="00156892">
        <w:t>unsatisfactory</w:t>
      </w:r>
      <w:r w:rsidR="002244B2">
        <w:t xml:space="preserve"> compensatory arrangements available under the G</w:t>
      </w:r>
      <w:r w:rsidR="00053504">
        <w:t xml:space="preserve">uidelines, notably in the form of native vegetation offsets and, if approved, ‘alternative’ compensatory arrangements </w:t>
      </w:r>
      <w:r w:rsidR="00517E90">
        <w:t xml:space="preserve">where species </w:t>
      </w:r>
      <w:r w:rsidR="006159C3">
        <w:t xml:space="preserve">offsets </w:t>
      </w:r>
      <w:r w:rsidR="00517E90">
        <w:t xml:space="preserve">(like for like) are unavailable for threatened species. </w:t>
      </w:r>
    </w:p>
    <w:p w14:paraId="337B59E1" w14:textId="77777777" w:rsidR="00AF0EB4" w:rsidRDefault="00AF0EB4" w:rsidP="009D3296">
      <w:pPr>
        <w:pStyle w:val="ListParagraph"/>
        <w:ind w:hanging="720"/>
      </w:pPr>
    </w:p>
    <w:p w14:paraId="5C83850E" w14:textId="5B475EC8" w:rsidR="00AF0EB4" w:rsidRDefault="00CB5CAC" w:rsidP="009D3296">
      <w:pPr>
        <w:pStyle w:val="ListParagraph"/>
        <w:numPr>
          <w:ilvl w:val="0"/>
          <w:numId w:val="6"/>
        </w:numPr>
        <w:ind w:hanging="720"/>
      </w:pPr>
      <w:r>
        <w:lastRenderedPageBreak/>
        <w:t>C</w:t>
      </w:r>
      <w:r w:rsidR="00AE6BE6">
        <w:t>leared native vegetation may be compensated for through ‘general offsets’ under the Guidelines</w:t>
      </w:r>
      <w:r>
        <w:t>, other than w</w:t>
      </w:r>
      <w:r w:rsidRPr="00CB5CAC">
        <w:t>here a relevant threshold is met for impacts of native vegetation that is habitat</w:t>
      </w:r>
      <w:r>
        <w:t xml:space="preserve"> for rare or threatened species.</w:t>
      </w:r>
    </w:p>
    <w:p w14:paraId="54EF341A" w14:textId="77777777" w:rsidR="00AF0EB4" w:rsidRDefault="00AF0EB4" w:rsidP="009D3296">
      <w:pPr>
        <w:pStyle w:val="ListParagraph"/>
        <w:ind w:left="0"/>
      </w:pPr>
    </w:p>
    <w:p w14:paraId="60655734" w14:textId="08C954B3" w:rsidR="00AF0EB4" w:rsidRDefault="00292E49" w:rsidP="009D3296">
      <w:pPr>
        <w:pStyle w:val="ListParagraph"/>
        <w:numPr>
          <w:ilvl w:val="0"/>
          <w:numId w:val="6"/>
        </w:numPr>
        <w:ind w:hanging="720"/>
      </w:pPr>
      <w:r>
        <w:t xml:space="preserve">‘General offsets’ can </w:t>
      </w:r>
      <w:r w:rsidR="0057438F">
        <w:t xml:space="preserve">be secured at any accredited offset sites within the administrative region of the Catchment Management Authority. </w:t>
      </w:r>
      <w:r w:rsidR="00CB5CAC">
        <w:t>This applies to native vegetation associated with Endangered EVCs.</w:t>
      </w:r>
    </w:p>
    <w:p w14:paraId="2ACF5CA7" w14:textId="77777777" w:rsidR="00AF0EB4" w:rsidRDefault="00AF0EB4" w:rsidP="009D3296">
      <w:pPr>
        <w:pStyle w:val="ListParagraph"/>
        <w:ind w:hanging="720"/>
      </w:pPr>
    </w:p>
    <w:p w14:paraId="6D6341EF" w14:textId="648C582C" w:rsidR="00AF0EB4" w:rsidRDefault="0069127B" w:rsidP="009D3296">
      <w:pPr>
        <w:pStyle w:val="ListParagraph"/>
        <w:numPr>
          <w:ilvl w:val="0"/>
          <w:numId w:val="6"/>
        </w:numPr>
        <w:ind w:hanging="720"/>
      </w:pPr>
      <w:r>
        <w:t xml:space="preserve">The ecological evidence </w:t>
      </w:r>
      <w:r w:rsidR="00CB5CAC">
        <w:t>i</w:t>
      </w:r>
      <w:r>
        <w:t xml:space="preserve">s that </w:t>
      </w:r>
      <w:r w:rsidR="00F00686">
        <w:t>it is likely general offsets w</w:t>
      </w:r>
      <w:r w:rsidR="00CB5CAC">
        <w:t>ill</w:t>
      </w:r>
      <w:r w:rsidR="00F00686">
        <w:t xml:space="preserve"> be secured outside of the </w:t>
      </w:r>
      <w:r w:rsidR="00CB5CAC">
        <w:t>p</w:t>
      </w:r>
      <w:r w:rsidR="00F00686">
        <w:t xml:space="preserve">roject </w:t>
      </w:r>
      <w:r w:rsidR="00CB5CAC">
        <w:t>a</w:t>
      </w:r>
      <w:r w:rsidR="00F00686">
        <w:t xml:space="preserve">rea and outside of the affected municipalities. </w:t>
      </w:r>
      <w:r w:rsidR="005D4392">
        <w:t>In these areas there will be a net loss of native vegetation.</w:t>
      </w:r>
      <w:r w:rsidR="005D5CCC">
        <w:rPr>
          <w:rStyle w:val="FootnoteReference"/>
        </w:rPr>
        <w:footnoteReference w:id="76"/>
      </w:r>
    </w:p>
    <w:p w14:paraId="6B252EEB" w14:textId="77777777" w:rsidR="00AF0EB4" w:rsidRDefault="00AF0EB4" w:rsidP="009D3296">
      <w:pPr>
        <w:pStyle w:val="ListParagraph"/>
        <w:ind w:hanging="720"/>
      </w:pPr>
    </w:p>
    <w:p w14:paraId="4CFD4E81" w14:textId="04AD7C77" w:rsidR="00AF0EB4" w:rsidRDefault="0061533F" w:rsidP="009D3296">
      <w:pPr>
        <w:pStyle w:val="ListParagraph"/>
        <w:numPr>
          <w:ilvl w:val="0"/>
          <w:numId w:val="6"/>
        </w:numPr>
        <w:ind w:hanging="720"/>
      </w:pPr>
      <w:r>
        <w:t xml:space="preserve">It is fair to say, in our submission, that </w:t>
      </w:r>
      <w:r w:rsidR="0035405B">
        <w:t xml:space="preserve">compensatory mechanisms </w:t>
      </w:r>
      <w:r w:rsidR="00E11BFD">
        <w:t>available</w:t>
      </w:r>
      <w:r w:rsidR="0035405B">
        <w:t xml:space="preserve"> under native vegetation clearing controls w</w:t>
      </w:r>
      <w:r w:rsidR="00CB5CAC">
        <w:t>ill</w:t>
      </w:r>
      <w:r w:rsidR="0035405B">
        <w:t xml:space="preserve"> not</w:t>
      </w:r>
      <w:r w:rsidR="00E11BFD">
        <w:t>, on their own,</w:t>
      </w:r>
      <w:r w:rsidR="0035405B">
        <w:t xml:space="preserve"> deliver an acceptable outcome</w:t>
      </w:r>
      <w:r w:rsidR="00E11BFD">
        <w:t xml:space="preserve"> in planning terms</w:t>
      </w:r>
      <w:r w:rsidR="00CB5CAC">
        <w:t>.</w:t>
      </w:r>
      <w:r w:rsidR="00E11BFD">
        <w:t xml:space="preserve"> </w:t>
      </w:r>
      <w:r w:rsidR="00CB5CAC">
        <w:t>N</w:t>
      </w:r>
      <w:r w:rsidR="00E11BFD">
        <w:t>or</w:t>
      </w:r>
      <w:r w:rsidR="00CB5CAC">
        <w:t xml:space="preserve"> are they in accordance with the principles of </w:t>
      </w:r>
      <w:r w:rsidR="00E11BFD">
        <w:t xml:space="preserve">ESD. </w:t>
      </w:r>
    </w:p>
    <w:p w14:paraId="7E90992A" w14:textId="77777777" w:rsidR="00CB5CAC" w:rsidRDefault="00CB5CAC" w:rsidP="009D3296">
      <w:pPr>
        <w:pStyle w:val="ListParagraph"/>
      </w:pPr>
    </w:p>
    <w:p w14:paraId="2CB9956A" w14:textId="1F5181AF" w:rsidR="00AF0EB4" w:rsidRDefault="00CB5CAC" w:rsidP="009D3296">
      <w:pPr>
        <w:pStyle w:val="Heading3"/>
      </w:pPr>
      <w:bookmarkStart w:id="31" w:name="_Toc18573017"/>
      <w:bookmarkStart w:id="32" w:name="_Toc18592030"/>
      <w:r w:rsidRPr="00AF0EB4">
        <w:t>The ‘urban forest’</w:t>
      </w:r>
      <w:bookmarkEnd w:id="31"/>
      <w:bookmarkEnd w:id="32"/>
    </w:p>
    <w:p w14:paraId="14D30E3C" w14:textId="1D42B827" w:rsidR="00CB5CAC" w:rsidRDefault="00CB5CAC" w:rsidP="009D3296">
      <w:pPr>
        <w:pStyle w:val="ListParagraph"/>
        <w:numPr>
          <w:ilvl w:val="0"/>
          <w:numId w:val="6"/>
        </w:numPr>
        <w:ind w:hanging="720"/>
      </w:pPr>
      <w:r>
        <w:t xml:space="preserve">A </w:t>
      </w:r>
      <w:r w:rsidR="00016836">
        <w:t>compensatory mechanism that does provide for greater potential</w:t>
      </w:r>
      <w:r>
        <w:t xml:space="preserve"> than those discussed above </w:t>
      </w:r>
      <w:r w:rsidR="00016836">
        <w:t xml:space="preserve">is enhancement of the so-called </w:t>
      </w:r>
      <w:r w:rsidR="003E3698">
        <w:t>‘</w:t>
      </w:r>
      <w:r w:rsidR="00016836">
        <w:t>urban forest</w:t>
      </w:r>
      <w:r w:rsidR="003E3698">
        <w:t>’</w:t>
      </w:r>
      <w:r>
        <w:t xml:space="preserve">, particularly </w:t>
      </w:r>
      <w:r w:rsidR="003E3698">
        <w:t>where this is combined with greater efforts at avoidance of vegetation loss.</w:t>
      </w:r>
    </w:p>
    <w:p w14:paraId="2672D4F2" w14:textId="239F6DD6" w:rsidR="00AF0EB4" w:rsidRDefault="00AF0EB4" w:rsidP="009D3296">
      <w:pPr>
        <w:pStyle w:val="ListParagraph"/>
      </w:pPr>
    </w:p>
    <w:p w14:paraId="6C21E655" w14:textId="08D0671A" w:rsidR="00AF0EB4" w:rsidRDefault="00B642F3" w:rsidP="009D3296">
      <w:pPr>
        <w:pStyle w:val="ListParagraph"/>
        <w:numPr>
          <w:ilvl w:val="0"/>
          <w:numId w:val="6"/>
        </w:numPr>
        <w:ind w:hanging="720"/>
      </w:pPr>
      <w:r>
        <w:t>The EES treats ‘</w:t>
      </w:r>
      <w:r w:rsidR="004942A7">
        <w:t>planted</w:t>
      </w:r>
      <w:r w:rsidR="00181A22">
        <w:t xml:space="preserve"> amenity</w:t>
      </w:r>
      <w:r w:rsidR="004942A7">
        <w:t xml:space="preserve">’ vegetation as distinguishable from ‘native vegetation’. </w:t>
      </w:r>
      <w:r>
        <w:t>However, i</w:t>
      </w:r>
      <w:r w:rsidR="00181A22">
        <w:t>f the ‘planted amenity’ vegetation is ‘indigenous to Victoria’ it is</w:t>
      </w:r>
      <w:r>
        <w:t>,</w:t>
      </w:r>
      <w:r w:rsidR="00181A22">
        <w:t xml:space="preserve"> strictly speaking</w:t>
      </w:r>
      <w:r>
        <w:t>,</w:t>
      </w:r>
      <w:r w:rsidR="00181A22">
        <w:t xml:space="preserve"> ‘native vegetation’ under planning laws. The distinction in treatment arises from the operation of the exemption under </w:t>
      </w:r>
      <w:r w:rsidR="0020074C">
        <w:t xml:space="preserve">clause 52.17 of the VPPs. </w:t>
      </w:r>
      <w:r w:rsidR="00F05EBF">
        <w:t xml:space="preserve">That exemption </w:t>
      </w:r>
      <w:r w:rsidR="00F62045">
        <w:t xml:space="preserve">operates to exempt a proposal to clear native vegetation planted with public funds, other than for biodiversity purposes, from the requirement to obtain a permit to do so. </w:t>
      </w:r>
    </w:p>
    <w:p w14:paraId="6B8E36C6" w14:textId="77777777" w:rsidR="00AF0EB4" w:rsidRDefault="00AF0EB4" w:rsidP="009D3296">
      <w:pPr>
        <w:pStyle w:val="ListParagraph"/>
        <w:ind w:hanging="720"/>
      </w:pPr>
    </w:p>
    <w:p w14:paraId="4D6E6257" w14:textId="05D55908" w:rsidR="00AF0EB4" w:rsidRDefault="00AB2F1B" w:rsidP="009D3296">
      <w:pPr>
        <w:pStyle w:val="ListParagraph"/>
        <w:numPr>
          <w:ilvl w:val="0"/>
          <w:numId w:val="6"/>
        </w:numPr>
        <w:ind w:hanging="720"/>
      </w:pPr>
      <w:r>
        <w:t xml:space="preserve">There was some question in cross-examination of NELP’s ecological expert witnesses around what native vegetation precisely such an exemption applies to. </w:t>
      </w:r>
      <w:r w:rsidR="00EE1173">
        <w:t>That is a fair point and there appears to be no evidence of</w:t>
      </w:r>
      <w:r w:rsidR="00B642F3">
        <w:t xml:space="preserve"> consideration by the proponent of</w:t>
      </w:r>
      <w:r w:rsidR="00EE1173">
        <w:t xml:space="preserve"> what are or are not ‘amenity’ plantings across the </w:t>
      </w:r>
      <w:r w:rsidR="00B642F3">
        <w:t>p</w:t>
      </w:r>
      <w:r w:rsidR="00EE1173">
        <w:t xml:space="preserve">roject </w:t>
      </w:r>
      <w:r w:rsidR="00B642F3">
        <w:t>a</w:t>
      </w:r>
      <w:r w:rsidR="00EE1173">
        <w:t xml:space="preserve">rea. </w:t>
      </w:r>
    </w:p>
    <w:p w14:paraId="1EBF81A5" w14:textId="77777777" w:rsidR="00AF0EB4" w:rsidRDefault="00AF0EB4" w:rsidP="00AF0EB4">
      <w:pPr>
        <w:pStyle w:val="ListParagraph"/>
      </w:pPr>
    </w:p>
    <w:p w14:paraId="44CDA09B" w14:textId="1C83226C" w:rsidR="00AF0EB4" w:rsidRDefault="00F05CC6" w:rsidP="009D3296">
      <w:pPr>
        <w:pStyle w:val="ListParagraph"/>
        <w:numPr>
          <w:ilvl w:val="0"/>
          <w:numId w:val="6"/>
        </w:numPr>
        <w:ind w:hanging="720"/>
      </w:pPr>
      <w:r>
        <w:t xml:space="preserve">Even </w:t>
      </w:r>
      <w:r w:rsidR="00B642F3">
        <w:t xml:space="preserve">more significant is </w:t>
      </w:r>
      <w:r w:rsidR="005610F6">
        <w:t xml:space="preserve">the scale of potential losses of vegetation across the </w:t>
      </w:r>
      <w:r w:rsidR="00B642F3">
        <w:t>p</w:t>
      </w:r>
      <w:r w:rsidR="005610F6">
        <w:t xml:space="preserve">roject </w:t>
      </w:r>
      <w:r w:rsidR="00B642F3">
        <w:t>a</w:t>
      </w:r>
      <w:r w:rsidR="005610F6">
        <w:t xml:space="preserve">rea </w:t>
      </w:r>
      <w:r w:rsidR="00DA5091">
        <w:t xml:space="preserve">identified as ‘planted amenity’ vegetation. </w:t>
      </w:r>
    </w:p>
    <w:p w14:paraId="1F9730B4" w14:textId="77777777" w:rsidR="00AF0EB4" w:rsidRDefault="00AF0EB4" w:rsidP="009D3296">
      <w:pPr>
        <w:pStyle w:val="ListParagraph"/>
        <w:ind w:hanging="720"/>
      </w:pPr>
    </w:p>
    <w:p w14:paraId="13D73FD7" w14:textId="46FFF172" w:rsidR="00AF0EB4" w:rsidRDefault="00BB3021" w:rsidP="009D3296">
      <w:pPr>
        <w:pStyle w:val="ListParagraph"/>
        <w:numPr>
          <w:ilvl w:val="0"/>
          <w:numId w:val="6"/>
        </w:numPr>
        <w:ind w:hanging="720"/>
      </w:pPr>
      <w:r>
        <w:t>Around 26,000 trees are identified as actually or potentially to be cleared under the NELP. Two-thirds of those are mature or maturing trees.</w:t>
      </w:r>
      <w:r w:rsidR="00B642F3">
        <w:rPr>
          <w:rStyle w:val="FootnoteReference"/>
        </w:rPr>
        <w:footnoteReference w:id="77"/>
      </w:r>
      <w:r>
        <w:t xml:space="preserve"> </w:t>
      </w:r>
    </w:p>
    <w:p w14:paraId="43B8CE0F" w14:textId="77777777" w:rsidR="00AF0EB4" w:rsidRDefault="00AF0EB4" w:rsidP="009D3296">
      <w:pPr>
        <w:pStyle w:val="ListParagraph"/>
        <w:ind w:hanging="720"/>
      </w:pPr>
    </w:p>
    <w:p w14:paraId="3131B47D" w14:textId="77777777" w:rsidR="00AF0EB4" w:rsidRDefault="001D15C4" w:rsidP="009D3296">
      <w:pPr>
        <w:pStyle w:val="ListParagraph"/>
        <w:numPr>
          <w:ilvl w:val="0"/>
          <w:numId w:val="6"/>
        </w:numPr>
        <w:ind w:hanging="720"/>
      </w:pPr>
      <w:r>
        <w:t xml:space="preserve">Key areas at which ‘planted amenity trees’ are to be removed or impacted include along the Eastern Freeway as a result of widening the Freeway (Component 3 in Technical Report G), and from the M80 Ring Road to River Red Gum Walk (Component 1 in Technical Report G). </w:t>
      </w:r>
    </w:p>
    <w:p w14:paraId="5AE5DD00" w14:textId="77777777" w:rsidR="00AF0EB4" w:rsidRDefault="00AF0EB4" w:rsidP="009D3296">
      <w:pPr>
        <w:pStyle w:val="ListParagraph"/>
        <w:ind w:hanging="720"/>
      </w:pPr>
    </w:p>
    <w:p w14:paraId="7F2D79D5" w14:textId="6DCC3E0E" w:rsidR="00AF0EB4" w:rsidRDefault="001D15C4" w:rsidP="009D3296">
      <w:pPr>
        <w:pStyle w:val="ListParagraph"/>
        <w:numPr>
          <w:ilvl w:val="0"/>
          <w:numId w:val="6"/>
        </w:numPr>
        <w:ind w:hanging="720"/>
      </w:pPr>
      <w:r>
        <w:t>In these areas</w:t>
      </w:r>
      <w:r w:rsidR="00B642F3">
        <w:t>,</w:t>
      </w:r>
      <w:r>
        <w:t xml:space="preserve"> loss</w:t>
      </w:r>
      <w:r w:rsidR="00B642F3">
        <w:t>es</w:t>
      </w:r>
      <w:r>
        <w:t xml:space="preserve"> or impacts on trees are identified as between approximately 7000-14,700 and 7,800-10,000 trees respectively (14,800-24,700 in total), depending whether ‘potential’ impacts are realised. Losses in Component 2 are fewer as a result of the proposed bored tunnel and fewer planted trees</w:t>
      </w:r>
      <w:r w:rsidR="00B642F3">
        <w:t>.</w:t>
      </w:r>
    </w:p>
    <w:p w14:paraId="0EA7D785" w14:textId="77777777" w:rsidR="00AF0EB4" w:rsidRDefault="00AF0EB4" w:rsidP="009D3296">
      <w:pPr>
        <w:pStyle w:val="ListParagraph"/>
        <w:ind w:hanging="720"/>
      </w:pPr>
    </w:p>
    <w:p w14:paraId="42ED8F69" w14:textId="4F75A176" w:rsidR="00AF0EB4" w:rsidRDefault="00B642F3" w:rsidP="009D3296">
      <w:pPr>
        <w:pStyle w:val="ListParagraph"/>
        <w:numPr>
          <w:ilvl w:val="0"/>
          <w:numId w:val="6"/>
        </w:numPr>
        <w:ind w:hanging="720"/>
      </w:pPr>
      <w:r>
        <w:t xml:space="preserve">The evidence of </w:t>
      </w:r>
      <w:r w:rsidR="00CF1E54">
        <w:t xml:space="preserve">Dr Lorimer is that this assessment does not include planted understorey, which makes a significant understated contribution to this ‘urban forest’. </w:t>
      </w:r>
      <w:r w:rsidR="00F018AA">
        <w:t xml:space="preserve">We submit that evidence should be accepted. </w:t>
      </w:r>
    </w:p>
    <w:p w14:paraId="2EA387C9" w14:textId="77777777" w:rsidR="00AF0EB4" w:rsidRDefault="00AF0EB4" w:rsidP="009D3296">
      <w:pPr>
        <w:pStyle w:val="ListParagraph"/>
        <w:ind w:hanging="720"/>
      </w:pPr>
    </w:p>
    <w:p w14:paraId="0E9AF2D3" w14:textId="57F83ECE" w:rsidR="00AF0EB4" w:rsidRDefault="00B642F3" w:rsidP="009D3296">
      <w:pPr>
        <w:pStyle w:val="ListParagraph"/>
        <w:numPr>
          <w:ilvl w:val="0"/>
          <w:numId w:val="6"/>
        </w:numPr>
        <w:ind w:hanging="720"/>
      </w:pPr>
      <w:r>
        <w:t xml:space="preserve">The evidence of </w:t>
      </w:r>
      <w:r w:rsidR="001D15C4">
        <w:t xml:space="preserve">Ms </w:t>
      </w:r>
      <w:proofErr w:type="spellStart"/>
      <w:r w:rsidR="001D15C4">
        <w:t>Caffin</w:t>
      </w:r>
      <w:proofErr w:type="spellEnd"/>
      <w:r w:rsidR="001D15C4">
        <w:t xml:space="preserve"> is that a ‘significant reduction in tree canopy will occur’ and this will have impacts on the ‘local community and environment… [and] the surrounding region’</w:t>
      </w:r>
      <w:r>
        <w:t>.</w:t>
      </w:r>
      <w:r>
        <w:rPr>
          <w:rStyle w:val="FootnoteReference"/>
        </w:rPr>
        <w:footnoteReference w:id="78"/>
      </w:r>
      <w:r w:rsidR="001D15C4">
        <w:t xml:space="preserve">  </w:t>
      </w:r>
    </w:p>
    <w:p w14:paraId="6962450B" w14:textId="77777777" w:rsidR="00AF0EB4" w:rsidRDefault="00AF0EB4" w:rsidP="009D3296">
      <w:pPr>
        <w:pStyle w:val="ListParagraph"/>
        <w:ind w:hanging="720"/>
      </w:pPr>
    </w:p>
    <w:p w14:paraId="6495A24E" w14:textId="4F9FF8D8" w:rsidR="00AF0EB4" w:rsidRDefault="001D15C4" w:rsidP="009D3296">
      <w:pPr>
        <w:pStyle w:val="ListParagraph"/>
        <w:numPr>
          <w:ilvl w:val="0"/>
          <w:numId w:val="6"/>
        </w:numPr>
        <w:ind w:hanging="720"/>
      </w:pPr>
      <w:r>
        <w:t xml:space="preserve">Ms </w:t>
      </w:r>
      <w:proofErr w:type="spellStart"/>
      <w:r>
        <w:t>Caffin’s</w:t>
      </w:r>
      <w:proofErr w:type="spellEnd"/>
      <w:r>
        <w:t xml:space="preserve"> </w:t>
      </w:r>
      <w:r w:rsidR="00863B53">
        <w:t>expert report</w:t>
      </w:r>
      <w:r>
        <w:t xml:space="preserve"> notes the ‘wealth of social, environmental and economic benefits’ provided by the urban forest.</w:t>
      </w:r>
      <w:r w:rsidR="00B642F3">
        <w:rPr>
          <w:rStyle w:val="FootnoteReference"/>
        </w:rPr>
        <w:footnoteReference w:id="79"/>
      </w:r>
      <w:r>
        <w:t xml:space="preserve"> </w:t>
      </w:r>
      <w:r w:rsidR="00F934CF">
        <w:t>These statement</w:t>
      </w:r>
      <w:r w:rsidR="00FD6AE8">
        <w:t>s</w:t>
      </w:r>
      <w:r w:rsidR="00F934CF">
        <w:t xml:space="preserve"> broadly concur with the evidence of Dr</w:t>
      </w:r>
      <w:r w:rsidR="000B3BF2">
        <w:t xml:space="preserve"> Lorimer and Professor Bekessy on the importance of the ‘urban forest’</w:t>
      </w:r>
      <w:r w:rsidR="00501CB5">
        <w:t>,</w:t>
      </w:r>
      <w:r w:rsidR="000B3BF2">
        <w:t xml:space="preserve"> or </w:t>
      </w:r>
      <w:r w:rsidR="00B642F3">
        <w:t>is</w:t>
      </w:r>
      <w:r w:rsidR="00EB4439">
        <w:t xml:space="preserve"> (in our submission) the</w:t>
      </w:r>
      <w:r w:rsidR="000B3BF2">
        <w:t xml:space="preserve"> ‘naturalistic’ </w:t>
      </w:r>
      <w:r w:rsidR="00501CB5">
        <w:t xml:space="preserve">landscape combining remnant and created </w:t>
      </w:r>
      <w:r w:rsidR="00CC1AAA">
        <w:t>urban ecosystem</w:t>
      </w:r>
      <w:r w:rsidR="001C77FB">
        <w:t xml:space="preserve"> features</w:t>
      </w:r>
      <w:r w:rsidR="00CC1AAA">
        <w:t xml:space="preserve">. </w:t>
      </w:r>
    </w:p>
    <w:p w14:paraId="5B807ACD" w14:textId="77777777" w:rsidR="00AF0EB4" w:rsidRDefault="00AF0EB4" w:rsidP="009D3296">
      <w:pPr>
        <w:pStyle w:val="ListParagraph"/>
        <w:ind w:hanging="720"/>
      </w:pPr>
    </w:p>
    <w:p w14:paraId="6782864A" w14:textId="29F101E2" w:rsidR="00AF0EB4" w:rsidRDefault="00B642F3" w:rsidP="009D3296">
      <w:pPr>
        <w:pStyle w:val="ListParagraph"/>
        <w:numPr>
          <w:ilvl w:val="0"/>
          <w:numId w:val="6"/>
        </w:numPr>
        <w:ind w:hanging="720"/>
      </w:pPr>
      <w:r>
        <w:t>T</w:t>
      </w:r>
      <w:r w:rsidR="002C3DC8">
        <w:t xml:space="preserve">here is a growing preference and policy intention to </w:t>
      </w:r>
      <w:r w:rsidR="001D088A">
        <w:t>protect and extend the ‘urban forest’</w:t>
      </w:r>
      <w:r>
        <w:t>.</w:t>
      </w:r>
      <w:r>
        <w:rPr>
          <w:rStyle w:val="FootnoteReference"/>
        </w:rPr>
        <w:footnoteReference w:id="80"/>
      </w:r>
      <w:r w:rsidR="001D088A">
        <w:t xml:space="preserve"> </w:t>
      </w:r>
      <w:r w:rsidR="00D053C5">
        <w:t xml:space="preserve">This is reflected is various government </w:t>
      </w:r>
      <w:r>
        <w:t xml:space="preserve">strategies and </w:t>
      </w:r>
      <w:r w:rsidR="00D053C5">
        <w:t>policies</w:t>
      </w:r>
      <w:r>
        <w:t xml:space="preserve">, including </w:t>
      </w:r>
      <w:r w:rsidR="00D053C5" w:rsidRPr="009D3296">
        <w:rPr>
          <w:i/>
        </w:rPr>
        <w:t>Biodiversity 2037</w:t>
      </w:r>
      <w:r w:rsidR="00D053C5">
        <w:t xml:space="preserve"> </w:t>
      </w:r>
      <w:r>
        <w:t xml:space="preserve">which </w:t>
      </w:r>
      <w:r w:rsidR="00D053C5">
        <w:t>states:</w:t>
      </w:r>
    </w:p>
    <w:p w14:paraId="4BD54680" w14:textId="77777777" w:rsidR="00AF0EB4" w:rsidRDefault="00AF0EB4" w:rsidP="00AF0EB4">
      <w:pPr>
        <w:pStyle w:val="ListParagraph"/>
        <w:rPr>
          <w:sz w:val="20"/>
          <w:szCs w:val="20"/>
        </w:rPr>
      </w:pPr>
    </w:p>
    <w:p w14:paraId="5F6DF9AC" w14:textId="12BA95ED" w:rsidR="00AF0EB4" w:rsidRPr="00AF0EB4" w:rsidRDefault="00AF0EB4" w:rsidP="00AF0EB4">
      <w:pPr>
        <w:pStyle w:val="ListParagraph"/>
        <w:ind w:left="1440"/>
        <w:rPr>
          <w:sz w:val="20"/>
          <w:szCs w:val="20"/>
        </w:rPr>
      </w:pPr>
      <w:r w:rsidRPr="00AF0EB4">
        <w:rPr>
          <w:sz w:val="20"/>
          <w:szCs w:val="20"/>
        </w:rPr>
        <w:t>Local government</w:t>
      </w:r>
      <w:r w:rsidR="00B642F3">
        <w:rPr>
          <w:sz w:val="20"/>
          <w:szCs w:val="20"/>
        </w:rPr>
        <w:t>s</w:t>
      </w:r>
      <w:r w:rsidRPr="00AF0EB4">
        <w:rPr>
          <w:sz w:val="20"/>
          <w:szCs w:val="20"/>
        </w:rPr>
        <w:t xml:space="preserve"> are now leading the way in urban greening, but a whole-of-government approach is needed to ensure the broad range of benefits are realised.</w:t>
      </w:r>
      <w:r w:rsidR="00B642F3">
        <w:rPr>
          <w:rStyle w:val="FootnoteReference"/>
          <w:sz w:val="20"/>
          <w:szCs w:val="20"/>
        </w:rPr>
        <w:footnoteReference w:id="81"/>
      </w:r>
    </w:p>
    <w:p w14:paraId="1566AEE9" w14:textId="77777777" w:rsidR="00AF0EB4" w:rsidRDefault="00AF0EB4" w:rsidP="00AF0EB4">
      <w:pPr>
        <w:pStyle w:val="ListParagraph"/>
      </w:pPr>
    </w:p>
    <w:p w14:paraId="1D10185D" w14:textId="0075D5D4" w:rsidR="00AF0EB4" w:rsidRDefault="0017533E" w:rsidP="009D3296">
      <w:pPr>
        <w:pStyle w:val="ListParagraph"/>
        <w:numPr>
          <w:ilvl w:val="0"/>
          <w:numId w:val="6"/>
        </w:numPr>
        <w:ind w:hanging="720"/>
      </w:pPr>
      <w:r>
        <w:t>A metropolitan strategy for Melbourne’s ‘urban forest’ was published in early 2019 by Resilient Melbourne and The Nature Conservancy</w:t>
      </w:r>
      <w:r w:rsidR="002978D8">
        <w:t>.</w:t>
      </w:r>
      <w:r w:rsidR="002978D8">
        <w:rPr>
          <w:rStyle w:val="FootnoteReference"/>
        </w:rPr>
        <w:footnoteReference w:id="82"/>
      </w:r>
      <w:r w:rsidR="002978D8">
        <w:t xml:space="preserve"> This strategy has been endorsed by 41 organisations, including</w:t>
      </w:r>
      <w:r w:rsidR="00B642F3">
        <w:t xml:space="preserve"> the Department of Land, Water and Planning</w:t>
      </w:r>
      <w:r w:rsidR="002978D8">
        <w:t xml:space="preserve"> </w:t>
      </w:r>
      <w:r w:rsidR="00B642F3">
        <w:t>(</w:t>
      </w:r>
      <w:r w:rsidR="00B642F3" w:rsidRPr="009D3296">
        <w:rPr>
          <w:b/>
        </w:rPr>
        <w:t>‘</w:t>
      </w:r>
      <w:r w:rsidR="002978D8" w:rsidRPr="009D3296">
        <w:rPr>
          <w:b/>
        </w:rPr>
        <w:t>DELWP</w:t>
      </w:r>
      <w:r w:rsidR="00B642F3" w:rsidRPr="009D3296">
        <w:rPr>
          <w:b/>
        </w:rPr>
        <w:t>’</w:t>
      </w:r>
      <w:r w:rsidR="00B642F3">
        <w:t>)</w:t>
      </w:r>
      <w:r w:rsidR="002978D8">
        <w:t xml:space="preserve">, </w:t>
      </w:r>
      <w:r w:rsidR="00B642F3">
        <w:t xml:space="preserve">most </w:t>
      </w:r>
      <w:r w:rsidR="002978D8">
        <w:t>local government</w:t>
      </w:r>
      <w:r w:rsidR="00B642F3">
        <w:t>s</w:t>
      </w:r>
      <w:r w:rsidR="002978D8">
        <w:t>, and planning and water authorities.</w:t>
      </w:r>
      <w:r w:rsidR="002978D8">
        <w:rPr>
          <w:rStyle w:val="FootnoteReference"/>
        </w:rPr>
        <w:footnoteReference w:id="83"/>
      </w:r>
    </w:p>
    <w:p w14:paraId="04B27B1C" w14:textId="77777777" w:rsidR="00AF0EB4" w:rsidRDefault="00AF0EB4" w:rsidP="009D3296">
      <w:pPr>
        <w:pStyle w:val="ListParagraph"/>
        <w:ind w:hanging="720"/>
      </w:pPr>
    </w:p>
    <w:p w14:paraId="313C0BE4" w14:textId="4BE005FC" w:rsidR="00AF0EB4" w:rsidRDefault="00D053C5" w:rsidP="009D3296">
      <w:pPr>
        <w:pStyle w:val="ListParagraph"/>
        <w:numPr>
          <w:ilvl w:val="0"/>
          <w:numId w:val="6"/>
        </w:numPr>
        <w:ind w:hanging="720"/>
      </w:pPr>
      <w:r>
        <w:t>I</w:t>
      </w:r>
      <w:r w:rsidR="004359F8">
        <w:t xml:space="preserve">n our submission, greater efforts directed to avoidance of native vegetation loss </w:t>
      </w:r>
      <w:r w:rsidR="00A53465">
        <w:t xml:space="preserve">are relevant to (and </w:t>
      </w:r>
      <w:r w:rsidR="00B642F3">
        <w:t xml:space="preserve">potentially </w:t>
      </w:r>
      <w:r w:rsidR="00A53465">
        <w:t xml:space="preserve">overlap with) greater efforts to avoid losses of ‘planted amenity’ vegetation. </w:t>
      </w:r>
      <w:r w:rsidR="00BF570B">
        <w:t>This is for various reasons</w:t>
      </w:r>
      <w:r w:rsidR="00CE0835">
        <w:t>, such as</w:t>
      </w:r>
      <w:r w:rsidR="00BF570B">
        <w:t>:</w:t>
      </w:r>
    </w:p>
    <w:p w14:paraId="704E65C6" w14:textId="77777777" w:rsidR="00AF0EB4" w:rsidRDefault="00AF0EB4" w:rsidP="00AF0EB4">
      <w:pPr>
        <w:pStyle w:val="ListParagraph"/>
        <w:ind w:left="1080"/>
      </w:pPr>
    </w:p>
    <w:p w14:paraId="4C915389" w14:textId="6C5277E6" w:rsidR="00AF0EB4" w:rsidRDefault="00B642F3" w:rsidP="00AF0EB4">
      <w:pPr>
        <w:pStyle w:val="ListParagraph"/>
        <w:numPr>
          <w:ilvl w:val="0"/>
          <w:numId w:val="46"/>
        </w:numPr>
        <w:ind w:left="1080"/>
      </w:pPr>
      <w:r>
        <w:t>p</w:t>
      </w:r>
      <w:r w:rsidR="00AF0EB4">
        <w:t xml:space="preserve">lanted vegetation may overlap with remnant Endangered EVCs, such as along the </w:t>
      </w:r>
      <w:proofErr w:type="spellStart"/>
      <w:r w:rsidR="00AF0EB4">
        <w:t>Koonung</w:t>
      </w:r>
      <w:proofErr w:type="spellEnd"/>
      <w:r w:rsidR="00AF0EB4">
        <w:t xml:space="preserve"> Creek corridor</w:t>
      </w:r>
      <w:r>
        <w:t>;</w:t>
      </w:r>
    </w:p>
    <w:p w14:paraId="7E3E927F" w14:textId="77777777" w:rsidR="00AF0EB4" w:rsidRDefault="00AF0EB4" w:rsidP="00AF0EB4">
      <w:pPr>
        <w:pStyle w:val="ListParagraph"/>
        <w:ind w:left="1800"/>
      </w:pPr>
    </w:p>
    <w:p w14:paraId="41870946" w14:textId="1C7E6529" w:rsidR="00AF0EB4" w:rsidRDefault="00B642F3" w:rsidP="00AF0EB4">
      <w:pPr>
        <w:pStyle w:val="ListParagraph"/>
        <w:numPr>
          <w:ilvl w:val="0"/>
          <w:numId w:val="46"/>
        </w:numPr>
        <w:ind w:left="1080"/>
      </w:pPr>
      <w:r>
        <w:lastRenderedPageBreak/>
        <w:t>t</w:t>
      </w:r>
      <w:r w:rsidR="00AF0EB4">
        <w:t>here is a considerable degree of uncertainty associated with the success of any Tree Canopy Replacement Plan</w:t>
      </w:r>
      <w:r>
        <w:t xml:space="preserve"> (i.e. </w:t>
      </w:r>
      <w:r w:rsidR="00AF0EB4">
        <w:t>as a consequence of the time lag between removal and maturation of new vegetation</w:t>
      </w:r>
      <w:r>
        <w:t>);</w:t>
      </w:r>
    </w:p>
    <w:p w14:paraId="747B9513" w14:textId="77777777" w:rsidR="00AF0EB4" w:rsidRDefault="00AF0EB4" w:rsidP="00AF0EB4">
      <w:pPr>
        <w:pStyle w:val="ListParagraph"/>
        <w:ind w:left="1080"/>
      </w:pPr>
    </w:p>
    <w:p w14:paraId="4412E127" w14:textId="470E5BFA" w:rsidR="00AF0EB4" w:rsidRDefault="00B642F3" w:rsidP="00AF0EB4">
      <w:pPr>
        <w:pStyle w:val="ListParagraph"/>
        <w:numPr>
          <w:ilvl w:val="0"/>
          <w:numId w:val="46"/>
        </w:numPr>
        <w:ind w:left="1080"/>
      </w:pPr>
      <w:r>
        <w:t>t</w:t>
      </w:r>
      <w:r w:rsidR="00AF0EB4">
        <w:t>here is material uncertainty in the capacity of any replacement strategy to deliver a ‘net gain’ in local canopy cover, notwithstanding high level evidence that this can be achieved</w:t>
      </w:r>
      <w:r>
        <w:t>;</w:t>
      </w:r>
    </w:p>
    <w:p w14:paraId="23547AB3" w14:textId="77777777" w:rsidR="00AF0EB4" w:rsidRDefault="00AF0EB4" w:rsidP="00AF0EB4">
      <w:pPr>
        <w:pStyle w:val="ListParagraph"/>
        <w:ind w:left="1080"/>
      </w:pPr>
    </w:p>
    <w:p w14:paraId="7AF3DD38" w14:textId="0CEB6AE7" w:rsidR="00AF0EB4" w:rsidRDefault="00B642F3" w:rsidP="00AF0EB4">
      <w:pPr>
        <w:pStyle w:val="ListParagraph"/>
        <w:numPr>
          <w:ilvl w:val="0"/>
          <w:numId w:val="46"/>
        </w:numPr>
        <w:ind w:left="1080"/>
      </w:pPr>
      <w:r>
        <w:t>t</w:t>
      </w:r>
      <w:r w:rsidR="00AF0EB4">
        <w:t xml:space="preserve">he Reference Design is a high level model of the NELP for which efforts of avoidance are not exhausted. </w:t>
      </w:r>
    </w:p>
    <w:p w14:paraId="67A0E46C" w14:textId="77777777" w:rsidR="00AF0EB4" w:rsidRDefault="00AF0EB4" w:rsidP="00AF0EB4">
      <w:pPr>
        <w:pStyle w:val="ListParagraph"/>
      </w:pPr>
    </w:p>
    <w:p w14:paraId="243F1716" w14:textId="2C842051" w:rsidR="00AF0EB4" w:rsidRDefault="00B642F3" w:rsidP="009D3296">
      <w:pPr>
        <w:pStyle w:val="ListParagraph"/>
        <w:numPr>
          <w:ilvl w:val="0"/>
          <w:numId w:val="6"/>
        </w:numPr>
        <w:ind w:hanging="720"/>
      </w:pPr>
      <w:r>
        <w:t xml:space="preserve">The evidence of </w:t>
      </w:r>
      <w:r w:rsidR="001D088A">
        <w:t xml:space="preserve">Ms </w:t>
      </w:r>
      <w:proofErr w:type="spellStart"/>
      <w:r w:rsidR="001D088A">
        <w:t>Caffin</w:t>
      </w:r>
      <w:proofErr w:type="spellEnd"/>
      <w:r w:rsidR="001D088A">
        <w:t xml:space="preserve"> </w:t>
      </w:r>
      <w:r>
        <w:t xml:space="preserve">is that </w:t>
      </w:r>
      <w:r w:rsidR="001D088A">
        <w:t xml:space="preserve">the eastern region of Melbourne is </w:t>
      </w:r>
      <w:r w:rsidR="006C25DE">
        <w:t>currently facing a loss</w:t>
      </w:r>
      <w:r w:rsidR="00A93641">
        <w:t xml:space="preserve"> of tree canopy and vegetation</w:t>
      </w:r>
      <w:r w:rsidR="004A638B">
        <w:t xml:space="preserve"> cover</w:t>
      </w:r>
      <w:r w:rsidR="00A93641">
        <w:t xml:space="preserve"> as a result of urban in-fill development and infrastructure.</w:t>
      </w:r>
      <w:r w:rsidR="004A638B">
        <w:rPr>
          <w:rStyle w:val="FootnoteReference"/>
        </w:rPr>
        <w:footnoteReference w:id="84"/>
      </w:r>
    </w:p>
    <w:p w14:paraId="04D0624D" w14:textId="77777777" w:rsidR="00AF0EB4" w:rsidRDefault="00AF0EB4" w:rsidP="009D3296">
      <w:pPr>
        <w:pStyle w:val="ListParagraph"/>
        <w:ind w:hanging="720"/>
      </w:pPr>
    </w:p>
    <w:p w14:paraId="1C2E2411" w14:textId="6F1FC7E7" w:rsidR="00AF0EB4" w:rsidRDefault="007516BE" w:rsidP="009D3296">
      <w:pPr>
        <w:pStyle w:val="ListParagraph"/>
        <w:numPr>
          <w:ilvl w:val="0"/>
          <w:numId w:val="6"/>
        </w:numPr>
        <w:ind w:hanging="720"/>
      </w:pPr>
      <w:r>
        <w:t xml:space="preserve">Ms </w:t>
      </w:r>
      <w:proofErr w:type="spellStart"/>
      <w:r>
        <w:t>Caffin’s</w:t>
      </w:r>
      <w:proofErr w:type="spellEnd"/>
      <w:r>
        <w:t xml:space="preserve"> </w:t>
      </w:r>
      <w:r w:rsidR="00B642F3">
        <w:t xml:space="preserve">also confirmed that </w:t>
      </w:r>
      <w:r>
        <w:t>only 30</w:t>
      </w:r>
      <w:r w:rsidR="004A638B">
        <w:t>-40</w:t>
      </w:r>
      <w:r>
        <w:t xml:space="preserve">% of </w:t>
      </w:r>
      <w:r w:rsidR="004A638B">
        <w:t xml:space="preserve">tree canopy removed </w:t>
      </w:r>
      <w:r w:rsidR="00B642F3">
        <w:t xml:space="preserve">for NELP </w:t>
      </w:r>
      <w:r w:rsidR="004A638B">
        <w:t>c</w:t>
      </w:r>
      <w:r w:rsidR="00B642F3">
        <w:t>an</w:t>
      </w:r>
      <w:r w:rsidR="004A638B">
        <w:t xml:space="preserve"> be replaced within the </w:t>
      </w:r>
      <w:r w:rsidR="00B642F3">
        <w:t>p</w:t>
      </w:r>
      <w:r w:rsidR="004A638B">
        <w:t xml:space="preserve">roject </w:t>
      </w:r>
      <w:r w:rsidR="00B642F3">
        <w:t>a</w:t>
      </w:r>
      <w:r w:rsidR="004A638B">
        <w:t>rea.</w:t>
      </w:r>
      <w:r w:rsidR="00D36AF0">
        <w:rPr>
          <w:rStyle w:val="FootnoteReference"/>
        </w:rPr>
        <w:footnoteReference w:id="85"/>
      </w:r>
      <w:r w:rsidR="00C36FA9">
        <w:t xml:space="preserve"> Rather, </w:t>
      </w:r>
      <w:r w:rsidR="00BF570B">
        <w:t>the balance</w:t>
      </w:r>
      <w:r w:rsidR="00C36FA9">
        <w:t xml:space="preserve"> of replacement trees</w:t>
      </w:r>
      <w:r w:rsidR="00BF570B">
        <w:t xml:space="preserve"> might be </w:t>
      </w:r>
      <w:r w:rsidR="00CE0835">
        <w:t>achieved on land within the affected adjacent municipalities, although this opinion is based on ‘rudimentary mapping’.</w:t>
      </w:r>
      <w:r w:rsidR="00CE0835">
        <w:rPr>
          <w:rStyle w:val="FootnoteReference"/>
        </w:rPr>
        <w:footnoteReference w:id="86"/>
      </w:r>
      <w:r w:rsidR="009260C7">
        <w:t xml:space="preserve"> </w:t>
      </w:r>
    </w:p>
    <w:p w14:paraId="312A66D6" w14:textId="77777777" w:rsidR="00AF0EB4" w:rsidRDefault="00AF0EB4" w:rsidP="009D3296">
      <w:pPr>
        <w:pStyle w:val="ListParagraph"/>
        <w:ind w:hanging="720"/>
      </w:pPr>
    </w:p>
    <w:p w14:paraId="3C0F4F79" w14:textId="62DE0EB8" w:rsidR="0008623C" w:rsidRDefault="00F538CC" w:rsidP="009D3296">
      <w:pPr>
        <w:pStyle w:val="ListParagraph"/>
        <w:numPr>
          <w:ilvl w:val="0"/>
          <w:numId w:val="6"/>
        </w:numPr>
        <w:ind w:hanging="720"/>
      </w:pPr>
      <w:r>
        <w:t>In our submission a Tree Canopy Replacement Plan</w:t>
      </w:r>
      <w:r w:rsidR="00864B37">
        <w:t xml:space="preserve"> is</w:t>
      </w:r>
      <w:r>
        <w:t xml:space="preserve"> a necessary, although not sufficient, </w:t>
      </w:r>
      <w:r w:rsidR="00864B37">
        <w:t>mechanism</w:t>
      </w:r>
      <w:r>
        <w:t xml:space="preserve"> to achieve an acceptable and ecological sustainable outcome for the NELP. </w:t>
      </w:r>
    </w:p>
    <w:p w14:paraId="3268A9ED" w14:textId="77777777" w:rsidR="0008623C" w:rsidRDefault="0008623C" w:rsidP="009D3296">
      <w:pPr>
        <w:pStyle w:val="ListParagraph"/>
        <w:ind w:hanging="720"/>
      </w:pPr>
    </w:p>
    <w:p w14:paraId="63DC5F67" w14:textId="7BE78CCB" w:rsidR="0008623C" w:rsidRDefault="00817032" w:rsidP="009D3296">
      <w:pPr>
        <w:pStyle w:val="ListParagraph"/>
        <w:numPr>
          <w:ilvl w:val="0"/>
          <w:numId w:val="6"/>
        </w:numPr>
        <w:ind w:hanging="720"/>
      </w:pPr>
      <w:r>
        <w:t xml:space="preserve">Greater efforts directed to avoidance of loss of ‘planted amenity’ vegetation are required, but </w:t>
      </w:r>
      <w:r w:rsidR="00192CEA">
        <w:t>a</w:t>
      </w:r>
      <w:r>
        <w:t xml:space="preserve"> </w:t>
      </w:r>
      <w:r w:rsidR="00864B37">
        <w:t xml:space="preserve">Tree Canopy Replacement Plan </w:t>
      </w:r>
      <w:r>
        <w:t xml:space="preserve">is </w:t>
      </w:r>
      <w:r w:rsidR="00192CEA">
        <w:t xml:space="preserve">an </w:t>
      </w:r>
      <w:r>
        <w:t>appropriate</w:t>
      </w:r>
      <w:r w:rsidR="00192CEA">
        <w:t xml:space="preserve"> strategy directed to long-term urban landscape change</w:t>
      </w:r>
      <w:r>
        <w:t xml:space="preserve">. </w:t>
      </w:r>
    </w:p>
    <w:p w14:paraId="1844ED14" w14:textId="77777777" w:rsidR="0008623C" w:rsidRDefault="0008623C" w:rsidP="009D3296">
      <w:pPr>
        <w:pStyle w:val="ListParagraph"/>
        <w:ind w:hanging="720"/>
      </w:pPr>
    </w:p>
    <w:p w14:paraId="34FC7D23" w14:textId="41CF850F" w:rsidR="0008623C" w:rsidRDefault="00817032" w:rsidP="009D3296">
      <w:pPr>
        <w:pStyle w:val="ListParagraph"/>
        <w:numPr>
          <w:ilvl w:val="0"/>
          <w:numId w:val="6"/>
        </w:numPr>
        <w:ind w:hanging="720"/>
      </w:pPr>
      <w:r>
        <w:t>The Committee should adopt the amendments to EPR AR3 proposed by Dr Lorimer and proposed new EPR related to an</w:t>
      </w:r>
      <w:r w:rsidR="00CA127F">
        <w:t xml:space="preserve"> ‘understorey replacement plan’,</w:t>
      </w:r>
      <w:r>
        <w:rPr>
          <w:rStyle w:val="FootnoteReference"/>
        </w:rPr>
        <w:footnoteReference w:id="87"/>
      </w:r>
      <w:r w:rsidR="008118EB">
        <w:t xml:space="preserve"> </w:t>
      </w:r>
      <w:r w:rsidR="00CA127F">
        <w:t xml:space="preserve">subject to further proposed amendments we shall come to below on valuation methods. </w:t>
      </w:r>
    </w:p>
    <w:p w14:paraId="6C0B5E87" w14:textId="77777777" w:rsidR="0008623C" w:rsidRDefault="0008623C" w:rsidP="0008623C"/>
    <w:p w14:paraId="55596B4D" w14:textId="0F6B29A9" w:rsidR="0008623C" w:rsidRPr="0008623C" w:rsidRDefault="0008623C" w:rsidP="0008623C">
      <w:pPr>
        <w:pStyle w:val="Heading3"/>
      </w:pPr>
      <w:bookmarkStart w:id="33" w:name="_Toc18573018"/>
      <w:bookmarkStart w:id="34" w:name="_Toc18592031"/>
      <w:r w:rsidRPr="0008623C">
        <w:t>Biodiversity and urban design</w:t>
      </w:r>
      <w:bookmarkEnd w:id="33"/>
      <w:bookmarkEnd w:id="34"/>
    </w:p>
    <w:p w14:paraId="69B293C6" w14:textId="77777777" w:rsidR="008E0BFA" w:rsidRDefault="008E0BFA" w:rsidP="009D3296">
      <w:pPr>
        <w:pStyle w:val="ListParagraph"/>
      </w:pPr>
    </w:p>
    <w:p w14:paraId="0A4FE1B5" w14:textId="5C26077A" w:rsidR="0008623C" w:rsidRDefault="003312A2" w:rsidP="009D3296">
      <w:pPr>
        <w:pStyle w:val="ListParagraph"/>
        <w:numPr>
          <w:ilvl w:val="0"/>
          <w:numId w:val="6"/>
        </w:numPr>
        <w:ind w:hanging="720"/>
      </w:pPr>
      <w:r>
        <w:t xml:space="preserve">The ecological evidence before the </w:t>
      </w:r>
      <w:r w:rsidR="00D7705D">
        <w:t>IAC</w:t>
      </w:r>
      <w:r>
        <w:t xml:space="preserve"> </w:t>
      </w:r>
      <w:r w:rsidR="00D7705D">
        <w:t>reveals</w:t>
      </w:r>
      <w:r>
        <w:t xml:space="preserve"> a stark divergence in the treatment of biodiversity for the purposes of environmental assessment</w:t>
      </w:r>
      <w:r w:rsidR="008E0BFA">
        <w:t>.</w:t>
      </w:r>
    </w:p>
    <w:p w14:paraId="54FE5EB9" w14:textId="77777777" w:rsidR="0008623C" w:rsidRDefault="0008623C" w:rsidP="009D3296">
      <w:pPr>
        <w:pStyle w:val="ListParagraph"/>
        <w:ind w:hanging="720"/>
      </w:pPr>
    </w:p>
    <w:p w14:paraId="76F23836" w14:textId="7D86303B" w:rsidR="0008623C" w:rsidRDefault="003312A2" w:rsidP="009D3296">
      <w:pPr>
        <w:pStyle w:val="ListParagraph"/>
        <w:numPr>
          <w:ilvl w:val="0"/>
          <w:numId w:val="6"/>
        </w:numPr>
        <w:ind w:hanging="720"/>
      </w:pPr>
      <w:r>
        <w:t>The approach taken to biodiversity assessment by</w:t>
      </w:r>
      <w:r w:rsidR="008E0BFA">
        <w:t xml:space="preserve"> </w:t>
      </w:r>
      <w:r>
        <w:t>Mr</w:t>
      </w:r>
      <w:r w:rsidR="008E0BFA">
        <w:t xml:space="preserve"> Brett</w:t>
      </w:r>
      <w:r>
        <w:t xml:space="preserve"> Lane</w:t>
      </w:r>
      <w:r w:rsidR="008E0BFA">
        <w:t xml:space="preserve">, for example, </w:t>
      </w:r>
      <w:r w:rsidR="00B1327F">
        <w:t xml:space="preserve">assumes a relatively narrow set of habitat values </w:t>
      </w:r>
      <w:r w:rsidR="006F09FB">
        <w:t>and conditions as the relevant scope of biodiversity considerations.</w:t>
      </w:r>
      <w:r w:rsidR="008E0BFA">
        <w:t xml:space="preserve"> T</w:t>
      </w:r>
      <w:r w:rsidR="006F09FB">
        <w:t xml:space="preserve">his approach broadly accords with the assessment scheme set out in the Guidelines. </w:t>
      </w:r>
    </w:p>
    <w:p w14:paraId="456372E4" w14:textId="77777777" w:rsidR="0008623C" w:rsidRDefault="0008623C" w:rsidP="009D3296">
      <w:pPr>
        <w:pStyle w:val="ListParagraph"/>
        <w:ind w:hanging="720"/>
      </w:pPr>
    </w:p>
    <w:p w14:paraId="041EA23D" w14:textId="77777777" w:rsidR="0008623C" w:rsidRDefault="00A274B8" w:rsidP="009D3296">
      <w:pPr>
        <w:pStyle w:val="ListParagraph"/>
        <w:numPr>
          <w:ilvl w:val="0"/>
          <w:numId w:val="6"/>
        </w:numPr>
        <w:ind w:hanging="720"/>
      </w:pPr>
      <w:r>
        <w:t>Biodiversity values emphasised under the Guidelines include native vegetation location and condition</w:t>
      </w:r>
      <w:r w:rsidR="00A85970">
        <w:t xml:space="preserve">, rare or threatened species habitat, Endangered EVCs, and sensitive wetlands or coastal areas. </w:t>
      </w:r>
      <w:r w:rsidR="00AA45C7">
        <w:t xml:space="preserve">These are important ecological values. </w:t>
      </w:r>
    </w:p>
    <w:p w14:paraId="2642AE49" w14:textId="77777777" w:rsidR="0008623C" w:rsidRDefault="0008623C" w:rsidP="009D3296">
      <w:pPr>
        <w:pStyle w:val="ListParagraph"/>
        <w:ind w:hanging="720"/>
      </w:pPr>
    </w:p>
    <w:p w14:paraId="5BF3AABB" w14:textId="77777777" w:rsidR="0008623C" w:rsidRDefault="00345A8B" w:rsidP="009D3296">
      <w:pPr>
        <w:pStyle w:val="ListParagraph"/>
        <w:numPr>
          <w:ilvl w:val="0"/>
          <w:numId w:val="6"/>
        </w:numPr>
        <w:ind w:hanging="720"/>
      </w:pPr>
      <w:r>
        <w:t>Where assessment is based on habitat hectares method, as the Guidelines may require, the reference point (‘benchmark’) for the quality of those biodiversity values is mature, pre-settlement condition.</w:t>
      </w:r>
      <w:r w:rsidR="00E40C02">
        <w:rPr>
          <w:rStyle w:val="FootnoteReference"/>
        </w:rPr>
        <w:footnoteReference w:id="88"/>
      </w:r>
      <w:r>
        <w:t xml:space="preserve"> Habitat hectare assessment was required under the Guidelines for the NELP.</w:t>
      </w:r>
      <w:r>
        <w:rPr>
          <w:rStyle w:val="FootnoteReference"/>
        </w:rPr>
        <w:footnoteReference w:id="89"/>
      </w:r>
    </w:p>
    <w:p w14:paraId="2DE9AD3D" w14:textId="77777777" w:rsidR="0008623C" w:rsidRDefault="0008623C" w:rsidP="009D3296">
      <w:pPr>
        <w:pStyle w:val="ListParagraph"/>
        <w:ind w:hanging="720"/>
      </w:pPr>
    </w:p>
    <w:p w14:paraId="16B059FF" w14:textId="1FF548B0" w:rsidR="0008623C" w:rsidRDefault="00AA45C7" w:rsidP="009D3296">
      <w:pPr>
        <w:pStyle w:val="ListParagraph"/>
        <w:numPr>
          <w:ilvl w:val="0"/>
          <w:numId w:val="6"/>
        </w:numPr>
        <w:ind w:hanging="720"/>
      </w:pPr>
      <w:r>
        <w:t>T</w:t>
      </w:r>
      <w:r w:rsidR="001108D3">
        <w:t>hese</w:t>
      </w:r>
      <w:r>
        <w:t xml:space="preserve"> are values </w:t>
      </w:r>
      <w:r w:rsidR="001108D3">
        <w:t xml:space="preserve">and reference points </w:t>
      </w:r>
      <w:r>
        <w:t>that can under-state the full and proper accounting of the ecological values of biodiversity, especially in the urban context. For example,</w:t>
      </w:r>
      <w:r w:rsidR="008E0BFA">
        <w:t xml:space="preserve"> </w:t>
      </w:r>
      <w:r>
        <w:t xml:space="preserve">Technical Report Q repeatedly describes environmental features as </w:t>
      </w:r>
      <w:r w:rsidR="008E0BFA">
        <w:t>‘</w:t>
      </w:r>
      <w:r>
        <w:t>modified</w:t>
      </w:r>
      <w:r w:rsidR="008E0BFA">
        <w:t>’</w:t>
      </w:r>
      <w:r>
        <w:t xml:space="preserve">, </w:t>
      </w:r>
      <w:r w:rsidR="008E0BFA">
        <w:t>‘</w:t>
      </w:r>
      <w:r>
        <w:t>degraded</w:t>
      </w:r>
      <w:r w:rsidR="008E0BFA">
        <w:t>’</w:t>
      </w:r>
      <w:r>
        <w:t xml:space="preserve"> or </w:t>
      </w:r>
      <w:r w:rsidR="008E0BFA">
        <w:t>‘</w:t>
      </w:r>
      <w:r>
        <w:t>urbanised</w:t>
      </w:r>
      <w:r w:rsidR="008E0BFA">
        <w:t>’</w:t>
      </w:r>
      <w:r>
        <w:t xml:space="preserve">. That evaluation is undoubtedly true as against a reference point of pre-settlement natural systems. </w:t>
      </w:r>
    </w:p>
    <w:p w14:paraId="06793AEC" w14:textId="77777777" w:rsidR="0008623C" w:rsidRDefault="0008623C" w:rsidP="009D3296">
      <w:pPr>
        <w:pStyle w:val="ListParagraph"/>
        <w:ind w:hanging="720"/>
      </w:pPr>
    </w:p>
    <w:p w14:paraId="38B9DD8E" w14:textId="77777777" w:rsidR="0008623C" w:rsidRDefault="00DB248A" w:rsidP="009D3296">
      <w:pPr>
        <w:pStyle w:val="ListParagraph"/>
        <w:numPr>
          <w:ilvl w:val="0"/>
          <w:numId w:val="6"/>
        </w:numPr>
        <w:ind w:hanging="720"/>
      </w:pPr>
      <w:r>
        <w:t>In our submission</w:t>
      </w:r>
      <w:r w:rsidR="00860B7B">
        <w:t>,</w:t>
      </w:r>
      <w:r>
        <w:t xml:space="preserve"> the reference point of pre-settlement biodiversity is relevant to the assessment of ecological values but it is limited and arguably constraining </w:t>
      </w:r>
      <w:r w:rsidR="00991181">
        <w:t xml:space="preserve">in assessing and making findings and decisions relating to development impacts on biodiversity in the </w:t>
      </w:r>
      <w:r w:rsidR="00860B7B">
        <w:t xml:space="preserve">contemporary </w:t>
      </w:r>
      <w:r w:rsidR="00991181">
        <w:t xml:space="preserve">urban context. </w:t>
      </w:r>
    </w:p>
    <w:p w14:paraId="4D75506D" w14:textId="77777777" w:rsidR="0008623C" w:rsidRDefault="0008623C" w:rsidP="009D3296">
      <w:pPr>
        <w:pStyle w:val="ListParagraph"/>
        <w:ind w:hanging="720"/>
      </w:pPr>
    </w:p>
    <w:p w14:paraId="1A820F2A" w14:textId="2CC6CD32" w:rsidR="0008623C" w:rsidRDefault="00FC4700" w:rsidP="009D3296">
      <w:pPr>
        <w:pStyle w:val="ListParagraph"/>
        <w:numPr>
          <w:ilvl w:val="0"/>
          <w:numId w:val="6"/>
        </w:numPr>
        <w:ind w:hanging="720"/>
      </w:pPr>
      <w:r>
        <w:t>This submission is supported by the agreed statement in the</w:t>
      </w:r>
      <w:r w:rsidR="008E0BFA">
        <w:t xml:space="preserve"> Conclave Meeting of</w:t>
      </w:r>
      <w:r>
        <w:t xml:space="preserve"> Ecolog</w:t>
      </w:r>
      <w:r w:rsidR="008E0BFA">
        <w:t>y</w:t>
      </w:r>
      <w:r>
        <w:t xml:space="preserve"> </w:t>
      </w:r>
      <w:r w:rsidR="008E0BFA">
        <w:t>Experts</w:t>
      </w:r>
      <w:r>
        <w:t xml:space="preserve"> that ‘vegetation and habitat in the project area, while in a somewhat degraded state and still supporting biodiversity values, has the potential to be restored and enhanced were it not developed’</w:t>
      </w:r>
      <w:r w:rsidR="0031340F">
        <w:t>.</w:t>
      </w:r>
      <w:r w:rsidR="0031340F">
        <w:rPr>
          <w:rStyle w:val="FootnoteReference"/>
        </w:rPr>
        <w:footnoteReference w:id="90"/>
      </w:r>
    </w:p>
    <w:p w14:paraId="0A8C70EA" w14:textId="77777777" w:rsidR="0008623C" w:rsidRDefault="0008623C" w:rsidP="009D3296">
      <w:pPr>
        <w:pStyle w:val="ListParagraph"/>
        <w:ind w:hanging="720"/>
      </w:pPr>
    </w:p>
    <w:p w14:paraId="396B583F" w14:textId="555E7724" w:rsidR="0008623C" w:rsidRDefault="00B26EC9" w:rsidP="009D3296">
      <w:pPr>
        <w:pStyle w:val="ListParagraph"/>
        <w:numPr>
          <w:ilvl w:val="0"/>
          <w:numId w:val="6"/>
        </w:numPr>
        <w:ind w:hanging="720"/>
      </w:pPr>
      <w:r>
        <w:t>Biodiversity impacts and responses to them (such as compensatory measures) need</w:t>
      </w:r>
      <w:r w:rsidR="004C6B9C">
        <w:t xml:space="preserve"> </w:t>
      </w:r>
      <w:r>
        <w:t>to be assessed in their appropriate ecological context. For</w:t>
      </w:r>
      <w:r w:rsidR="008E0BFA">
        <w:t xml:space="preserve"> the</w:t>
      </w:r>
      <w:r>
        <w:t xml:space="preserve"> NELP</w:t>
      </w:r>
      <w:r w:rsidR="008E0BFA">
        <w:t>,</w:t>
      </w:r>
      <w:r>
        <w:t xml:space="preserve"> this is an urban-ecological context. </w:t>
      </w:r>
    </w:p>
    <w:p w14:paraId="66253AC8" w14:textId="77777777" w:rsidR="0008623C" w:rsidRDefault="0008623C" w:rsidP="009D3296">
      <w:pPr>
        <w:pStyle w:val="ListParagraph"/>
        <w:ind w:hanging="720"/>
      </w:pPr>
    </w:p>
    <w:p w14:paraId="1A485868" w14:textId="7A6C625B" w:rsidR="0008623C" w:rsidRDefault="000A7538" w:rsidP="009D3296">
      <w:pPr>
        <w:pStyle w:val="ListParagraph"/>
        <w:numPr>
          <w:ilvl w:val="0"/>
          <w:numId w:val="6"/>
        </w:numPr>
        <w:ind w:hanging="720"/>
      </w:pPr>
      <w:r>
        <w:t xml:space="preserve">The urban-ecological context includes consideration and accounting for the broad spectrum of ‘ecosystem services’ provided by urban biodiversity, native vegetation and habitat. </w:t>
      </w:r>
      <w:r w:rsidR="00215EB0">
        <w:t xml:space="preserve">That wider approach to the treatment of biodiversity was evident in the expert evidence of Ms </w:t>
      </w:r>
      <w:proofErr w:type="spellStart"/>
      <w:r w:rsidR="00215EB0">
        <w:t>Caffin</w:t>
      </w:r>
      <w:proofErr w:type="spellEnd"/>
      <w:r w:rsidR="00215EB0">
        <w:t xml:space="preserve">, Dr Lorimer and Professor </w:t>
      </w:r>
      <w:proofErr w:type="spellStart"/>
      <w:r w:rsidR="00215EB0">
        <w:t>Bekessey</w:t>
      </w:r>
      <w:proofErr w:type="spellEnd"/>
      <w:r w:rsidR="00215EB0">
        <w:t>. It is also captured in the Ecological Conclave Report.</w:t>
      </w:r>
      <w:r w:rsidR="00230C91">
        <w:rPr>
          <w:rStyle w:val="FootnoteReference"/>
        </w:rPr>
        <w:footnoteReference w:id="91"/>
      </w:r>
      <w:r w:rsidR="00215EB0">
        <w:t xml:space="preserve"> </w:t>
      </w:r>
    </w:p>
    <w:p w14:paraId="64744719" w14:textId="77777777" w:rsidR="0008623C" w:rsidRDefault="0008623C" w:rsidP="009D3296">
      <w:pPr>
        <w:pStyle w:val="ListParagraph"/>
        <w:ind w:hanging="720"/>
      </w:pPr>
    </w:p>
    <w:p w14:paraId="3085461D" w14:textId="77777777" w:rsidR="0008623C" w:rsidRDefault="00851485" w:rsidP="009D3296">
      <w:pPr>
        <w:pStyle w:val="ListParagraph"/>
        <w:numPr>
          <w:ilvl w:val="0"/>
          <w:numId w:val="6"/>
        </w:numPr>
        <w:ind w:hanging="720"/>
      </w:pPr>
      <w:r>
        <w:t>The wider set of values associated with urban biodiversity identified in the expert evidence includes</w:t>
      </w:r>
      <w:r w:rsidR="006C372F">
        <w:t xml:space="preserve"> amenity, liveability, human health, childhood development, climate change </w:t>
      </w:r>
      <w:r w:rsidR="006C372F">
        <w:lastRenderedPageBreak/>
        <w:t xml:space="preserve">resilience, urban heat island mitigation, water </w:t>
      </w:r>
      <w:r w:rsidR="00073A55">
        <w:t xml:space="preserve">and nutrient cycling, and maintenance of </w:t>
      </w:r>
      <w:r w:rsidR="00AB4A99">
        <w:t>culture.</w:t>
      </w:r>
      <w:r w:rsidR="00AB4A99">
        <w:rPr>
          <w:rStyle w:val="FootnoteReference"/>
        </w:rPr>
        <w:footnoteReference w:id="92"/>
      </w:r>
    </w:p>
    <w:p w14:paraId="03DF8584" w14:textId="77777777" w:rsidR="0008623C" w:rsidRDefault="0008623C" w:rsidP="009D3296">
      <w:pPr>
        <w:pStyle w:val="ListParagraph"/>
        <w:ind w:hanging="720"/>
      </w:pPr>
    </w:p>
    <w:p w14:paraId="7808DC93" w14:textId="5AB5F9E8" w:rsidR="0008623C" w:rsidRDefault="00230C91" w:rsidP="009D3296">
      <w:pPr>
        <w:pStyle w:val="ListParagraph"/>
        <w:numPr>
          <w:ilvl w:val="0"/>
          <w:numId w:val="6"/>
        </w:numPr>
        <w:ind w:hanging="720"/>
      </w:pPr>
      <w:r>
        <w:t xml:space="preserve">This broader set of values is Victorian Government policy, as set out in </w:t>
      </w:r>
      <w:r w:rsidR="00991181" w:rsidRPr="009D3296">
        <w:rPr>
          <w:i/>
        </w:rPr>
        <w:t>Biodiversity 2037</w:t>
      </w:r>
      <w:r>
        <w:t xml:space="preserve"> and the </w:t>
      </w:r>
      <w:r w:rsidRPr="009D3296">
        <w:rPr>
          <w:i/>
        </w:rPr>
        <w:t>Victorian Memorandum on Health and Nature</w:t>
      </w:r>
      <w:r>
        <w:rPr>
          <w:i/>
        </w:rPr>
        <w:t>.</w:t>
      </w:r>
      <w:r w:rsidR="000D6781" w:rsidRPr="00EB1D6F">
        <w:rPr>
          <w:rStyle w:val="FootnoteReference"/>
        </w:rPr>
        <w:footnoteReference w:id="93"/>
      </w:r>
    </w:p>
    <w:p w14:paraId="0702E66C" w14:textId="77777777" w:rsidR="0008623C" w:rsidRDefault="0008623C" w:rsidP="009D3296">
      <w:pPr>
        <w:pStyle w:val="ListParagraph"/>
        <w:ind w:hanging="720"/>
      </w:pPr>
    </w:p>
    <w:p w14:paraId="309A589F" w14:textId="77777777" w:rsidR="0008623C" w:rsidRDefault="00E2149E" w:rsidP="009D3296">
      <w:pPr>
        <w:pStyle w:val="ListParagraph"/>
        <w:numPr>
          <w:ilvl w:val="0"/>
          <w:numId w:val="6"/>
        </w:numPr>
        <w:ind w:hanging="720"/>
      </w:pPr>
      <w:r w:rsidRPr="009D3296">
        <w:rPr>
          <w:i/>
        </w:rPr>
        <w:t>Biodiversity 2037</w:t>
      </w:r>
      <w:r>
        <w:t xml:space="preserve"> </w:t>
      </w:r>
      <w:r w:rsidR="0023783F">
        <w:t xml:space="preserve">places emphasis on biodiversity delivering ‘liveability’ outcomes and ‘green infrastructure’ for communities. In this context, the </w:t>
      </w:r>
      <w:r w:rsidR="00B41AEE">
        <w:t>policy includes the strengthening</w:t>
      </w:r>
      <w:r w:rsidR="0023783F">
        <w:t xml:space="preserve"> of</w:t>
      </w:r>
      <w:r w:rsidR="00B41AEE">
        <w:t xml:space="preserve"> the profile of</w:t>
      </w:r>
      <w:r w:rsidR="0023783F">
        <w:t xml:space="preserve"> biodiversity in </w:t>
      </w:r>
      <w:r w:rsidR="00B41AEE">
        <w:t xml:space="preserve">strategic </w:t>
      </w:r>
      <w:r w:rsidR="0023783F">
        <w:t>planning:</w:t>
      </w:r>
    </w:p>
    <w:p w14:paraId="11B9A0C9" w14:textId="77777777" w:rsidR="0008623C" w:rsidRDefault="0008623C" w:rsidP="0008623C">
      <w:pPr>
        <w:pStyle w:val="ListParagraph"/>
        <w:ind w:left="1440"/>
        <w:rPr>
          <w:color w:val="242425"/>
          <w:sz w:val="20"/>
          <w:szCs w:val="20"/>
        </w:rPr>
      </w:pPr>
    </w:p>
    <w:p w14:paraId="7D88A14F" w14:textId="1E99EA2E" w:rsidR="0008623C" w:rsidRPr="0008623C" w:rsidRDefault="0008623C" w:rsidP="0008623C">
      <w:pPr>
        <w:pStyle w:val="ListParagraph"/>
        <w:ind w:left="1440"/>
        <w:rPr>
          <w:sz w:val="20"/>
          <w:szCs w:val="20"/>
        </w:rPr>
      </w:pPr>
      <w:r w:rsidRPr="0008623C">
        <w:rPr>
          <w:color w:val="242425"/>
          <w:sz w:val="20"/>
          <w:szCs w:val="20"/>
        </w:rPr>
        <w:t>The government is committed to Victoria having a prosperous economy that cares for its liveability and builds its natural capital – and the shared use of information can play an important role in achieving this. The government will bring the latest information about biodiversity and the health of our environmental assets, economic development scenarios (for natural resources, population growth and infrastructure), regionally specific climate change risks, and opportunities for environmental and economic co-benefits together for scenario planning. This approach can help local communities and regions plan for the future, maintain their environmental asset base and make their built environment more liveable.</w:t>
      </w:r>
    </w:p>
    <w:p w14:paraId="2C468CE0" w14:textId="77777777" w:rsidR="0008623C" w:rsidRDefault="0008623C" w:rsidP="0008623C">
      <w:pPr>
        <w:pStyle w:val="ListParagraph"/>
      </w:pPr>
    </w:p>
    <w:p w14:paraId="028CB04F" w14:textId="77777777" w:rsidR="0008623C" w:rsidRDefault="003F2918" w:rsidP="009D3296">
      <w:pPr>
        <w:pStyle w:val="ListParagraph"/>
        <w:numPr>
          <w:ilvl w:val="0"/>
          <w:numId w:val="6"/>
        </w:numPr>
        <w:ind w:hanging="720"/>
      </w:pPr>
      <w:r>
        <w:t xml:space="preserve">This wider approach to the values of nature is also set within the policy objective of achieving overall improvement, or ‘net gain’, in environmental outcomes. </w:t>
      </w:r>
    </w:p>
    <w:p w14:paraId="42DD84AE" w14:textId="77777777" w:rsidR="0008623C" w:rsidRDefault="0008623C" w:rsidP="009D3296">
      <w:pPr>
        <w:pStyle w:val="ListParagraph"/>
        <w:ind w:hanging="720"/>
      </w:pPr>
    </w:p>
    <w:p w14:paraId="6E758F75" w14:textId="302E1DCF" w:rsidR="0008623C" w:rsidRDefault="009E13AF" w:rsidP="009D3296">
      <w:pPr>
        <w:pStyle w:val="ListParagraph"/>
        <w:numPr>
          <w:ilvl w:val="0"/>
          <w:numId w:val="6"/>
        </w:numPr>
        <w:ind w:hanging="720"/>
      </w:pPr>
      <w:r>
        <w:t>In our submission this type of approach opens a space for greater responsiveness to ‘biodiversity sensitive urban design’</w:t>
      </w:r>
      <w:r w:rsidR="00DC034B">
        <w:t xml:space="preserve"> (</w:t>
      </w:r>
      <w:r w:rsidR="00DC034B" w:rsidRPr="0008623C">
        <w:rPr>
          <w:b/>
        </w:rPr>
        <w:t>BSUD</w:t>
      </w:r>
      <w:r w:rsidR="00DC034B" w:rsidRPr="007610F2">
        <w:t>)</w:t>
      </w:r>
      <w:r w:rsidR="00230C91" w:rsidRPr="007610F2">
        <w:t xml:space="preserve"> (</w:t>
      </w:r>
      <w:r w:rsidR="007610F2" w:rsidRPr="007610F2">
        <w:t>as discussed above</w:t>
      </w:r>
      <w:r w:rsidR="00230C91" w:rsidRPr="007610F2">
        <w:t>)</w:t>
      </w:r>
      <w:r w:rsidRPr="007610F2">
        <w:t>.</w:t>
      </w:r>
      <w:r>
        <w:t xml:space="preserve"> </w:t>
      </w:r>
    </w:p>
    <w:p w14:paraId="2F0D6083" w14:textId="77777777" w:rsidR="0008623C" w:rsidRDefault="0008623C" w:rsidP="009D3296">
      <w:pPr>
        <w:pStyle w:val="ListParagraph"/>
        <w:ind w:hanging="720"/>
      </w:pPr>
    </w:p>
    <w:p w14:paraId="6E2DA169" w14:textId="77777777" w:rsidR="0008623C" w:rsidRDefault="00976FB3" w:rsidP="009D3296">
      <w:pPr>
        <w:pStyle w:val="ListParagraph"/>
        <w:numPr>
          <w:ilvl w:val="0"/>
          <w:numId w:val="6"/>
        </w:numPr>
        <w:ind w:hanging="720"/>
      </w:pPr>
      <w:r>
        <w:t>The Ecological Conclave agreed that BSUD ‘has the potential to further avoid and minimise impacts and should be included in the EPRs’.</w:t>
      </w:r>
      <w:r>
        <w:rPr>
          <w:rStyle w:val="FootnoteReference"/>
        </w:rPr>
        <w:footnoteReference w:id="94"/>
      </w:r>
    </w:p>
    <w:p w14:paraId="67962A49" w14:textId="77777777" w:rsidR="0008623C" w:rsidRDefault="0008623C" w:rsidP="009D3296">
      <w:pPr>
        <w:pStyle w:val="ListParagraph"/>
        <w:ind w:hanging="720"/>
      </w:pPr>
    </w:p>
    <w:p w14:paraId="528DB399" w14:textId="6803C770" w:rsidR="00230C91" w:rsidRDefault="00673EDA" w:rsidP="009D3296">
      <w:pPr>
        <w:pStyle w:val="ListParagraph"/>
        <w:numPr>
          <w:ilvl w:val="0"/>
          <w:numId w:val="6"/>
        </w:numPr>
        <w:ind w:hanging="720"/>
      </w:pPr>
      <w:r>
        <w:t>BSUD is a ‘protocol for urban design that aims to create suburbs that are a net benefit to native species and ecosystems through the provision of essential habitat and food resources</w:t>
      </w:r>
      <w:r w:rsidR="00230C91">
        <w:t>’</w:t>
      </w:r>
      <w:r>
        <w:t>.</w:t>
      </w:r>
      <w:r>
        <w:rPr>
          <w:rStyle w:val="FootnoteReference"/>
        </w:rPr>
        <w:footnoteReference w:id="95"/>
      </w:r>
      <w:r w:rsidR="00230C91">
        <w:t xml:space="preserve"> </w:t>
      </w:r>
      <w:r w:rsidR="00DF5E00">
        <w:t>The key elements of BSUD include:</w:t>
      </w:r>
    </w:p>
    <w:p w14:paraId="74AC40E4" w14:textId="77777777" w:rsidR="00230C91" w:rsidRDefault="00230C91" w:rsidP="009D3296">
      <w:pPr>
        <w:pStyle w:val="ListParagraph"/>
      </w:pPr>
    </w:p>
    <w:p w14:paraId="0C23B3C3" w14:textId="14B665E0" w:rsidR="0008623C" w:rsidRDefault="00230C91" w:rsidP="009D3296">
      <w:pPr>
        <w:pStyle w:val="ListParagraph"/>
        <w:numPr>
          <w:ilvl w:val="1"/>
          <w:numId w:val="6"/>
        </w:numPr>
      </w:pPr>
      <w:r>
        <w:t>m</w:t>
      </w:r>
      <w:r w:rsidR="0008623C">
        <w:t>aintain</w:t>
      </w:r>
      <w:r>
        <w:t>ing</w:t>
      </w:r>
      <w:r w:rsidR="0008623C">
        <w:t xml:space="preserve"> and introduc</w:t>
      </w:r>
      <w:r>
        <w:t>ing</w:t>
      </w:r>
      <w:r w:rsidR="0008623C">
        <w:t xml:space="preserve"> habitat</w:t>
      </w:r>
      <w:r>
        <w:t xml:space="preserve">; </w:t>
      </w:r>
    </w:p>
    <w:p w14:paraId="55203771" w14:textId="77777777" w:rsidR="00230C91" w:rsidRDefault="00230C91" w:rsidP="009D3296">
      <w:pPr>
        <w:pStyle w:val="ListParagraph"/>
        <w:ind w:left="1440"/>
      </w:pPr>
    </w:p>
    <w:p w14:paraId="50B3F723" w14:textId="22DCDB36" w:rsidR="0008623C" w:rsidRDefault="00230C91" w:rsidP="009D3296">
      <w:pPr>
        <w:pStyle w:val="ListParagraph"/>
        <w:numPr>
          <w:ilvl w:val="1"/>
          <w:numId w:val="6"/>
        </w:numPr>
      </w:pPr>
      <w:r>
        <w:t>f</w:t>
      </w:r>
      <w:r w:rsidR="0008623C">
        <w:t>acilitat</w:t>
      </w:r>
      <w:r>
        <w:t>ing</w:t>
      </w:r>
      <w:r w:rsidR="0008623C">
        <w:t xml:space="preserve"> dispersal</w:t>
      </w:r>
      <w:r>
        <w:t>;</w:t>
      </w:r>
      <w:r w:rsidR="0008623C">
        <w:t xml:space="preserve"> </w:t>
      </w:r>
    </w:p>
    <w:p w14:paraId="11FD86EA" w14:textId="77777777" w:rsidR="00230C91" w:rsidRDefault="00230C91" w:rsidP="009D3296">
      <w:pPr>
        <w:pStyle w:val="ListParagraph"/>
        <w:ind w:left="1440"/>
      </w:pPr>
    </w:p>
    <w:p w14:paraId="231CD581" w14:textId="5AFC4F33" w:rsidR="0008623C" w:rsidRDefault="00230C91" w:rsidP="009D3296">
      <w:pPr>
        <w:pStyle w:val="ListParagraph"/>
        <w:numPr>
          <w:ilvl w:val="1"/>
          <w:numId w:val="6"/>
        </w:numPr>
      </w:pPr>
      <w:r>
        <w:t>m</w:t>
      </w:r>
      <w:r w:rsidR="0008623C">
        <w:t>inimiz</w:t>
      </w:r>
      <w:r>
        <w:t>ing</w:t>
      </w:r>
      <w:r w:rsidR="0008623C">
        <w:t xml:space="preserve"> threats and anthropogenic disturbances</w:t>
      </w:r>
      <w:r>
        <w:t>;</w:t>
      </w:r>
    </w:p>
    <w:p w14:paraId="220C86E9" w14:textId="77777777" w:rsidR="00230C91" w:rsidRDefault="00230C91" w:rsidP="009D3296">
      <w:pPr>
        <w:pStyle w:val="ListParagraph"/>
        <w:ind w:left="1440"/>
      </w:pPr>
    </w:p>
    <w:p w14:paraId="24377CE6" w14:textId="3E6553EE" w:rsidR="0008623C" w:rsidRDefault="00230C91" w:rsidP="009D3296">
      <w:pPr>
        <w:pStyle w:val="ListParagraph"/>
        <w:numPr>
          <w:ilvl w:val="1"/>
          <w:numId w:val="6"/>
        </w:numPr>
      </w:pPr>
      <w:r>
        <w:t>f</w:t>
      </w:r>
      <w:r w:rsidR="0008623C">
        <w:t>acilitat</w:t>
      </w:r>
      <w:r>
        <w:t>ing</w:t>
      </w:r>
      <w:r w:rsidR="0008623C">
        <w:t xml:space="preserve"> natural ecological processes</w:t>
      </w:r>
      <w:r>
        <w:t>; and</w:t>
      </w:r>
    </w:p>
    <w:p w14:paraId="35995F93" w14:textId="77777777" w:rsidR="00230C91" w:rsidRDefault="00230C91" w:rsidP="009D3296">
      <w:pPr>
        <w:pStyle w:val="ListParagraph"/>
        <w:ind w:left="1440"/>
      </w:pPr>
    </w:p>
    <w:p w14:paraId="7FBF3E85" w14:textId="674DE458" w:rsidR="0008623C" w:rsidRDefault="00230C91" w:rsidP="009D3296">
      <w:pPr>
        <w:pStyle w:val="ListParagraph"/>
        <w:numPr>
          <w:ilvl w:val="1"/>
          <w:numId w:val="6"/>
        </w:numPr>
      </w:pPr>
      <w:r>
        <w:t>i</w:t>
      </w:r>
      <w:r w:rsidR="0008623C">
        <w:t>mprov</w:t>
      </w:r>
      <w:r>
        <w:t>ing</w:t>
      </w:r>
      <w:r w:rsidR="0008623C">
        <w:t xml:space="preserve"> potential for positive human-nature interactions. </w:t>
      </w:r>
    </w:p>
    <w:p w14:paraId="6CCA2F82" w14:textId="77777777" w:rsidR="0008623C" w:rsidRDefault="0008623C" w:rsidP="0008623C">
      <w:pPr>
        <w:pStyle w:val="ListParagraph"/>
      </w:pPr>
    </w:p>
    <w:p w14:paraId="1F1FBCB4" w14:textId="070819A9" w:rsidR="0008623C" w:rsidRDefault="00DF5E00" w:rsidP="009D3296">
      <w:pPr>
        <w:pStyle w:val="ListParagraph"/>
        <w:numPr>
          <w:ilvl w:val="0"/>
          <w:numId w:val="6"/>
        </w:numPr>
        <w:ind w:hanging="720"/>
      </w:pPr>
      <w:r>
        <w:lastRenderedPageBreak/>
        <w:t>Key protocols of BSUD include:</w:t>
      </w:r>
    </w:p>
    <w:p w14:paraId="5CCD26E2" w14:textId="77777777" w:rsidR="0026130A" w:rsidRDefault="0026130A" w:rsidP="009D3296">
      <w:pPr>
        <w:pStyle w:val="ListParagraph"/>
      </w:pPr>
    </w:p>
    <w:p w14:paraId="51B49805" w14:textId="323DDF88" w:rsidR="0008623C" w:rsidRDefault="0026130A" w:rsidP="00E919CB">
      <w:pPr>
        <w:pStyle w:val="ListParagraph"/>
        <w:numPr>
          <w:ilvl w:val="0"/>
          <w:numId w:val="49"/>
        </w:numPr>
      </w:pPr>
      <w:r>
        <w:t>i</w:t>
      </w:r>
      <w:r w:rsidR="0008623C">
        <w:t>dentify and map ecological values</w:t>
      </w:r>
      <w:r>
        <w:t>;</w:t>
      </w:r>
    </w:p>
    <w:p w14:paraId="3BF2AA9B" w14:textId="77777777" w:rsidR="0026130A" w:rsidRDefault="0026130A" w:rsidP="009D3296">
      <w:pPr>
        <w:pStyle w:val="ListParagraph"/>
        <w:ind w:left="1344"/>
      </w:pPr>
    </w:p>
    <w:p w14:paraId="1838C944" w14:textId="0AB53CE6" w:rsidR="0008623C" w:rsidRDefault="0026130A" w:rsidP="0008623C">
      <w:pPr>
        <w:pStyle w:val="ListParagraph"/>
        <w:numPr>
          <w:ilvl w:val="0"/>
          <w:numId w:val="49"/>
        </w:numPr>
      </w:pPr>
      <w:r>
        <w:t>d</w:t>
      </w:r>
      <w:r w:rsidR="0008623C">
        <w:t>efine ecological objectives</w:t>
      </w:r>
      <w:r>
        <w:t>;</w:t>
      </w:r>
    </w:p>
    <w:p w14:paraId="2F171EB5" w14:textId="77777777" w:rsidR="0026130A" w:rsidRDefault="0026130A" w:rsidP="009D3296">
      <w:pPr>
        <w:pStyle w:val="ListParagraph"/>
        <w:ind w:left="1344"/>
      </w:pPr>
    </w:p>
    <w:p w14:paraId="558DFA30" w14:textId="65EE0AE2" w:rsidR="0008623C" w:rsidRDefault="0026130A" w:rsidP="0008623C">
      <w:pPr>
        <w:pStyle w:val="ListParagraph"/>
        <w:numPr>
          <w:ilvl w:val="0"/>
          <w:numId w:val="49"/>
        </w:numPr>
      </w:pPr>
      <w:r>
        <w:t>i</w:t>
      </w:r>
      <w:r w:rsidR="0008623C">
        <w:t>dentify development objectives</w:t>
      </w:r>
      <w:r>
        <w:t>;</w:t>
      </w:r>
    </w:p>
    <w:p w14:paraId="0431C478" w14:textId="77777777" w:rsidR="0026130A" w:rsidRDefault="0026130A" w:rsidP="009D3296">
      <w:pPr>
        <w:pStyle w:val="ListParagraph"/>
        <w:ind w:left="1344"/>
      </w:pPr>
    </w:p>
    <w:p w14:paraId="42C3DE07" w14:textId="78247D4E" w:rsidR="0008623C" w:rsidRDefault="0026130A" w:rsidP="0008623C">
      <w:pPr>
        <w:pStyle w:val="ListParagraph"/>
        <w:numPr>
          <w:ilvl w:val="0"/>
          <w:numId w:val="49"/>
        </w:numPr>
      </w:pPr>
      <w:r>
        <w:t>i</w:t>
      </w:r>
      <w:r w:rsidR="0008623C">
        <w:t>dentify actions required to achieve objectives considering the five BSUD principles</w:t>
      </w:r>
      <w:r>
        <w:t>;</w:t>
      </w:r>
    </w:p>
    <w:p w14:paraId="180F9F13" w14:textId="77777777" w:rsidR="0026130A" w:rsidRDefault="0026130A" w:rsidP="009D3296">
      <w:pPr>
        <w:pStyle w:val="ListParagraph"/>
        <w:ind w:left="1344"/>
      </w:pPr>
    </w:p>
    <w:p w14:paraId="6F297D2B" w14:textId="2AE8072F" w:rsidR="0008623C" w:rsidRDefault="0026130A" w:rsidP="0008623C">
      <w:pPr>
        <w:pStyle w:val="ListParagraph"/>
        <w:numPr>
          <w:ilvl w:val="0"/>
          <w:numId w:val="49"/>
        </w:numPr>
      </w:pPr>
      <w:r>
        <w:t>q</w:t>
      </w:r>
      <w:r w:rsidR="0008623C">
        <w:t>uantitative assessment of contribution to biodiversity</w:t>
      </w:r>
      <w:r>
        <w:t>; and</w:t>
      </w:r>
    </w:p>
    <w:p w14:paraId="119340DB" w14:textId="77777777" w:rsidR="0026130A" w:rsidRDefault="0026130A" w:rsidP="009D3296">
      <w:pPr>
        <w:pStyle w:val="ListParagraph"/>
        <w:ind w:left="1344"/>
      </w:pPr>
    </w:p>
    <w:p w14:paraId="22EFA0EF" w14:textId="39EB9D66" w:rsidR="0026130A" w:rsidRDefault="0026130A" w:rsidP="00E919CB">
      <w:pPr>
        <w:pStyle w:val="ListParagraph"/>
        <w:numPr>
          <w:ilvl w:val="0"/>
          <w:numId w:val="49"/>
        </w:numPr>
      </w:pPr>
      <w:r>
        <w:t>i</w:t>
      </w:r>
      <w:r w:rsidR="0008623C">
        <w:t xml:space="preserve">dentify the BSUD actions that best meet ecological objectives (step </w:t>
      </w:r>
      <w:r>
        <w:t>b</w:t>
      </w:r>
      <w:r w:rsidR="0008623C">
        <w:t xml:space="preserve">), while accommodating development objectives (step </w:t>
      </w:r>
      <w:r>
        <w:t>c</w:t>
      </w:r>
      <w:r w:rsidR="0008623C">
        <w:t>) for the area.</w:t>
      </w:r>
    </w:p>
    <w:p w14:paraId="10ED8DAB" w14:textId="77777777" w:rsidR="009844E4" w:rsidRDefault="009844E4" w:rsidP="009D3296">
      <w:pPr>
        <w:pStyle w:val="ListParagraph"/>
      </w:pPr>
    </w:p>
    <w:p w14:paraId="531D7937" w14:textId="322C986C" w:rsidR="0008623C" w:rsidRDefault="0026130A" w:rsidP="009D3296">
      <w:pPr>
        <w:pStyle w:val="ListParagraph"/>
        <w:numPr>
          <w:ilvl w:val="0"/>
          <w:numId w:val="6"/>
        </w:numPr>
        <w:ind w:hanging="720"/>
      </w:pPr>
      <w:r>
        <w:t>I</w:t>
      </w:r>
      <w:r w:rsidR="00FA0949">
        <w:t>n our submission,</w:t>
      </w:r>
      <w:r>
        <w:t xml:space="preserve"> BSUD</w:t>
      </w:r>
      <w:r w:rsidR="00FA0949">
        <w:t xml:space="preserve"> </w:t>
      </w:r>
      <w:r w:rsidR="00917DCC">
        <w:t xml:space="preserve">is an approach </w:t>
      </w:r>
      <w:r w:rsidR="00A47B7E">
        <w:t xml:space="preserve">directed to mutual </w:t>
      </w:r>
      <w:r w:rsidR="00AC336C">
        <w:t xml:space="preserve">and evidence-driven </w:t>
      </w:r>
      <w:r w:rsidR="00A47B7E" w:rsidRPr="0008623C">
        <w:rPr>
          <w:i/>
        </w:rPr>
        <w:t>accommodation</w:t>
      </w:r>
      <w:r w:rsidR="00A47B7E">
        <w:t xml:space="preserve"> of biodiversity and development objectives, rather than </w:t>
      </w:r>
      <w:r w:rsidR="00AC336C">
        <w:t xml:space="preserve">solely actions </w:t>
      </w:r>
      <w:r w:rsidR="00AC336C" w:rsidRPr="0008623C">
        <w:rPr>
          <w:i/>
        </w:rPr>
        <w:t>ameliorative</w:t>
      </w:r>
      <w:r w:rsidR="000E683C" w:rsidRPr="0008623C">
        <w:rPr>
          <w:i/>
        </w:rPr>
        <w:t xml:space="preserve"> of</w:t>
      </w:r>
      <w:r w:rsidR="00440A1F" w:rsidRPr="0008623C">
        <w:rPr>
          <w:i/>
        </w:rPr>
        <w:t xml:space="preserve"> or mitigating</w:t>
      </w:r>
      <w:r w:rsidR="00AC336C">
        <w:t xml:space="preserve"> environmental damage or loss. </w:t>
      </w:r>
    </w:p>
    <w:p w14:paraId="615F0770" w14:textId="77777777" w:rsidR="0008623C" w:rsidRDefault="0008623C" w:rsidP="009D3296">
      <w:pPr>
        <w:pStyle w:val="ListParagraph"/>
        <w:ind w:hanging="720"/>
      </w:pPr>
    </w:p>
    <w:p w14:paraId="7BE4A2F4" w14:textId="1EE72C4F" w:rsidR="0008623C" w:rsidRDefault="00902F1E" w:rsidP="009D3296">
      <w:pPr>
        <w:pStyle w:val="ListParagraph"/>
        <w:numPr>
          <w:ilvl w:val="0"/>
          <w:numId w:val="6"/>
        </w:numPr>
        <w:ind w:hanging="720"/>
      </w:pPr>
      <w:r>
        <w:t>We submit a new EPR should be incorporate</w:t>
      </w:r>
      <w:r w:rsidR="0026130A">
        <w:t>d</w:t>
      </w:r>
      <w:r>
        <w:t xml:space="preserve"> into the EMF, as a new FF1, reflective of the BSUD protocol. </w:t>
      </w:r>
    </w:p>
    <w:p w14:paraId="0D4C5C3C" w14:textId="77777777" w:rsidR="0008623C" w:rsidRDefault="0008623C" w:rsidP="009D3296">
      <w:pPr>
        <w:pStyle w:val="ListParagraph"/>
        <w:ind w:hanging="720"/>
      </w:pPr>
    </w:p>
    <w:p w14:paraId="2FA5CE4F" w14:textId="77777777" w:rsidR="0008623C" w:rsidRDefault="00DE55BF" w:rsidP="009D3296">
      <w:pPr>
        <w:pStyle w:val="ListParagraph"/>
        <w:numPr>
          <w:ilvl w:val="0"/>
          <w:numId w:val="6"/>
        </w:numPr>
        <w:ind w:hanging="720"/>
      </w:pPr>
      <w:r>
        <w:t xml:space="preserve">A BSUD EPR should also include a governance protocol </w:t>
      </w:r>
      <w:r w:rsidR="00035B28">
        <w:t xml:space="preserve">to ensure multi-disciplinary and transparent arrangements for </w:t>
      </w:r>
      <w:r w:rsidR="00F53652">
        <w:t xml:space="preserve">scoping, designing, monitoring and adapting </w:t>
      </w:r>
      <w:r w:rsidR="00673047">
        <w:t xml:space="preserve">project </w:t>
      </w:r>
      <w:r w:rsidR="00EC02DC">
        <w:t>components</w:t>
      </w:r>
      <w:r w:rsidR="002E1D22">
        <w:t xml:space="preserve"> and technical knowledge inputs. </w:t>
      </w:r>
    </w:p>
    <w:p w14:paraId="06E87F0D" w14:textId="77777777" w:rsidR="0008623C" w:rsidRDefault="0008623C" w:rsidP="009D3296">
      <w:pPr>
        <w:pStyle w:val="ListParagraph"/>
        <w:ind w:hanging="720"/>
      </w:pPr>
    </w:p>
    <w:p w14:paraId="3D7D36DB" w14:textId="70892478" w:rsidR="0008623C" w:rsidRDefault="009844E4" w:rsidP="009D3296">
      <w:pPr>
        <w:pStyle w:val="ListParagraph"/>
        <w:numPr>
          <w:ilvl w:val="0"/>
          <w:numId w:val="6"/>
        </w:numPr>
        <w:ind w:hanging="720"/>
      </w:pPr>
      <w:r>
        <w:t xml:space="preserve">The </w:t>
      </w:r>
      <w:r w:rsidR="0083160A" w:rsidRPr="009D3296">
        <w:rPr>
          <w:i/>
        </w:rPr>
        <w:t>IWM Framework</w:t>
      </w:r>
      <w:r w:rsidR="0026130A">
        <w:rPr>
          <w:rStyle w:val="FootnoteReference"/>
        </w:rPr>
        <w:footnoteReference w:id="96"/>
      </w:r>
      <w:r w:rsidR="0083160A">
        <w:t xml:space="preserve"> adopted by the Victorian Government also contains objectives and collaboration principles conducive to a BSUD approach. </w:t>
      </w:r>
      <w:r>
        <w:t>We submit that t</w:t>
      </w:r>
      <w:r w:rsidR="0083160A">
        <w:t>he NELP project area should be considered as both a</w:t>
      </w:r>
      <w:r w:rsidR="000F6592">
        <w:t>n</w:t>
      </w:r>
      <w:r w:rsidR="0083160A">
        <w:t xml:space="preserve"> IWM and BSUD precinct. </w:t>
      </w:r>
    </w:p>
    <w:p w14:paraId="07AE328C" w14:textId="77777777" w:rsidR="0008623C" w:rsidRDefault="0008623C" w:rsidP="009D3296">
      <w:pPr>
        <w:pStyle w:val="ListParagraph"/>
        <w:ind w:hanging="720"/>
      </w:pPr>
    </w:p>
    <w:p w14:paraId="1E239530" w14:textId="58490F45" w:rsidR="0008623C" w:rsidRDefault="009844E4" w:rsidP="009D3296">
      <w:pPr>
        <w:pStyle w:val="ListParagraph"/>
        <w:numPr>
          <w:ilvl w:val="0"/>
          <w:numId w:val="6"/>
        </w:numPr>
        <w:ind w:hanging="720"/>
      </w:pPr>
      <w:r>
        <w:t>We further submit, to ensure the broader set of biodiversity values are considered and embedded in the project design, that t</w:t>
      </w:r>
      <w:r w:rsidR="0034381F">
        <w:t xml:space="preserve">he FF EPRs should include </w:t>
      </w:r>
      <w:r w:rsidR="00B23533">
        <w:t xml:space="preserve">the following </w:t>
      </w:r>
      <w:r w:rsidR="0034381F">
        <w:t>in the list of applicable legislation and policy:</w:t>
      </w:r>
    </w:p>
    <w:p w14:paraId="561F19EB" w14:textId="77777777" w:rsidR="0008623C" w:rsidRDefault="0008623C" w:rsidP="009D3296">
      <w:pPr>
        <w:pStyle w:val="ListParagraph"/>
        <w:ind w:hanging="720"/>
      </w:pPr>
    </w:p>
    <w:p w14:paraId="0B19FBA1" w14:textId="5B3EC6CD" w:rsidR="0008623C" w:rsidRPr="00FF30E3" w:rsidRDefault="0008623C" w:rsidP="0008623C">
      <w:pPr>
        <w:pStyle w:val="ListParagraph"/>
        <w:numPr>
          <w:ilvl w:val="0"/>
          <w:numId w:val="50"/>
        </w:numPr>
        <w:rPr>
          <w:i/>
        </w:rPr>
      </w:pPr>
      <w:r w:rsidRPr="00FF30E3">
        <w:rPr>
          <w:i/>
        </w:rPr>
        <w:t>Protecting Victoria’s Environment – Biodiversity 2037</w:t>
      </w:r>
    </w:p>
    <w:p w14:paraId="34D3DC90" w14:textId="77777777" w:rsidR="00A00F97" w:rsidRPr="00FF30E3" w:rsidRDefault="00A00F97" w:rsidP="009D3296">
      <w:pPr>
        <w:pStyle w:val="ListParagraph"/>
        <w:ind w:left="1338"/>
        <w:rPr>
          <w:i/>
        </w:rPr>
      </w:pPr>
    </w:p>
    <w:p w14:paraId="6559B1EA" w14:textId="0E7A1806" w:rsidR="00A00F97" w:rsidRPr="00FF30E3" w:rsidRDefault="00B23533" w:rsidP="00B23533">
      <w:pPr>
        <w:pStyle w:val="ListParagraph"/>
        <w:numPr>
          <w:ilvl w:val="0"/>
          <w:numId w:val="50"/>
        </w:numPr>
        <w:rPr>
          <w:i/>
        </w:rPr>
      </w:pPr>
      <w:r w:rsidRPr="00FF30E3">
        <w:rPr>
          <w:i/>
        </w:rPr>
        <w:t>Victorian Memorandum for Health and Nature</w:t>
      </w:r>
    </w:p>
    <w:p w14:paraId="125D8BB4" w14:textId="77777777" w:rsidR="00B23533" w:rsidRPr="00FF30E3" w:rsidRDefault="00B23533" w:rsidP="009D3296">
      <w:pPr>
        <w:pStyle w:val="ListParagraph"/>
        <w:ind w:left="1338"/>
        <w:rPr>
          <w:i/>
        </w:rPr>
      </w:pPr>
    </w:p>
    <w:p w14:paraId="1BEC94A2" w14:textId="5189A790" w:rsidR="0008623C" w:rsidRPr="00FF30E3" w:rsidRDefault="0008623C" w:rsidP="0008623C">
      <w:pPr>
        <w:pStyle w:val="ListParagraph"/>
        <w:numPr>
          <w:ilvl w:val="0"/>
          <w:numId w:val="50"/>
        </w:numPr>
        <w:rPr>
          <w:i/>
        </w:rPr>
      </w:pPr>
      <w:r w:rsidRPr="00FF30E3">
        <w:rPr>
          <w:i/>
        </w:rPr>
        <w:t>Integrated Water Management Framework for Victoria</w:t>
      </w:r>
    </w:p>
    <w:p w14:paraId="28EE2B5C" w14:textId="77777777" w:rsidR="00A00F97" w:rsidRPr="00FF30E3" w:rsidRDefault="00A00F97" w:rsidP="009D3296">
      <w:pPr>
        <w:pStyle w:val="ListParagraph"/>
        <w:ind w:left="1338"/>
        <w:rPr>
          <w:i/>
        </w:rPr>
      </w:pPr>
    </w:p>
    <w:p w14:paraId="1C73C0ED" w14:textId="262BBD29" w:rsidR="00B23533" w:rsidRPr="00FF30E3" w:rsidRDefault="00B23533" w:rsidP="0008623C">
      <w:pPr>
        <w:pStyle w:val="ListParagraph"/>
        <w:numPr>
          <w:ilvl w:val="0"/>
          <w:numId w:val="50"/>
        </w:numPr>
        <w:rPr>
          <w:i/>
        </w:rPr>
      </w:pPr>
      <w:r w:rsidRPr="00FF30E3">
        <w:rPr>
          <w:i/>
        </w:rPr>
        <w:t>Water for Victoria</w:t>
      </w:r>
      <w:r w:rsidR="0090540C" w:rsidRPr="00FF30E3">
        <w:rPr>
          <w:i/>
        </w:rPr>
        <w:t>: Water Plan</w:t>
      </w:r>
      <w:r w:rsidR="0090540C" w:rsidRPr="00FF30E3">
        <w:rPr>
          <w:rStyle w:val="FootnoteReference"/>
          <w:i/>
        </w:rPr>
        <w:footnoteReference w:id="97"/>
      </w:r>
    </w:p>
    <w:p w14:paraId="154FCE21" w14:textId="77777777" w:rsidR="00B03680" w:rsidRPr="00146E0D" w:rsidRDefault="00B03680" w:rsidP="009D3296">
      <w:pPr>
        <w:pStyle w:val="ListParagraph"/>
      </w:pPr>
    </w:p>
    <w:p w14:paraId="2A52D3ED" w14:textId="715DCBA0" w:rsidR="00F44C80" w:rsidRDefault="00B03680">
      <w:pPr>
        <w:pStyle w:val="ListParagraph"/>
        <w:numPr>
          <w:ilvl w:val="0"/>
          <w:numId w:val="50"/>
        </w:numPr>
      </w:pPr>
      <w:r w:rsidRPr="00146E0D">
        <w:rPr>
          <w:i/>
        </w:rPr>
        <w:lastRenderedPageBreak/>
        <w:t>Flora and Fauna Guarantee Act 1988</w:t>
      </w:r>
      <w:r w:rsidRPr="00146E0D">
        <w:t xml:space="preserve"> (as amended by </w:t>
      </w:r>
      <w:r w:rsidRPr="00146E0D">
        <w:rPr>
          <w:i/>
        </w:rPr>
        <w:t>Flora and Fauna Guarantee Amendment Act 2019</w:t>
      </w:r>
      <w:r w:rsidRPr="00146E0D">
        <w:t>)</w:t>
      </w:r>
    </w:p>
    <w:p w14:paraId="3CAEEA38" w14:textId="41B2C10C" w:rsidR="00146E0D" w:rsidRPr="00146E0D" w:rsidRDefault="00146E0D" w:rsidP="00146E0D"/>
    <w:p w14:paraId="01937D7F" w14:textId="55F35742" w:rsidR="0008623C" w:rsidRPr="0008623C" w:rsidRDefault="00AF0CE2" w:rsidP="0008623C">
      <w:pPr>
        <w:pStyle w:val="Heading1"/>
        <w:numPr>
          <w:ilvl w:val="0"/>
          <w:numId w:val="42"/>
        </w:numPr>
        <w:ind w:left="360"/>
      </w:pPr>
      <w:bookmarkStart w:id="35" w:name="_Toc18573019"/>
      <w:bookmarkStart w:id="36" w:name="_Toc18592032"/>
      <w:r>
        <w:t>T</w:t>
      </w:r>
      <w:r w:rsidR="0008623C">
        <w:t xml:space="preserve">he </w:t>
      </w:r>
      <w:r>
        <w:t xml:space="preserve">NELP </w:t>
      </w:r>
      <w:r w:rsidR="0008623C">
        <w:t xml:space="preserve">Reference Design – </w:t>
      </w:r>
      <w:r>
        <w:t>A</w:t>
      </w:r>
      <w:r w:rsidR="0008623C">
        <w:t xml:space="preserve">n </w:t>
      </w:r>
      <w:r>
        <w:t>Un</w:t>
      </w:r>
      <w:r w:rsidR="0008623C">
        <w:t xml:space="preserve">acceptable </w:t>
      </w:r>
      <w:r>
        <w:t>O</w:t>
      </w:r>
      <w:r w:rsidR="0008623C">
        <w:t>utcome</w:t>
      </w:r>
      <w:bookmarkEnd w:id="35"/>
      <w:bookmarkEnd w:id="36"/>
    </w:p>
    <w:p w14:paraId="1242231E" w14:textId="77777777" w:rsidR="0008623C" w:rsidRDefault="0008623C" w:rsidP="0008623C">
      <w:pPr>
        <w:pStyle w:val="ListParagraph"/>
      </w:pPr>
    </w:p>
    <w:p w14:paraId="494D59D7" w14:textId="1A1D6B5F" w:rsidR="0008623C" w:rsidRDefault="00CA7590" w:rsidP="009D3296">
      <w:pPr>
        <w:pStyle w:val="ListParagraph"/>
        <w:numPr>
          <w:ilvl w:val="0"/>
          <w:numId w:val="6"/>
        </w:numPr>
        <w:ind w:hanging="720"/>
      </w:pPr>
      <w:r>
        <w:t>I</w:t>
      </w:r>
      <w:r w:rsidR="0083307C">
        <w:t>f it is consistent with ESD principles and produce</w:t>
      </w:r>
      <w:r>
        <w:t>s</w:t>
      </w:r>
      <w:r w:rsidR="0083307C">
        <w:t xml:space="preserve"> a net community benefit</w:t>
      </w:r>
      <w:r>
        <w:t>, the NELP Reference Design may result in an acceptable environmental outcome.</w:t>
      </w:r>
      <w:r w:rsidR="0083307C">
        <w:t xml:space="preserve"> </w:t>
      </w:r>
    </w:p>
    <w:p w14:paraId="377C72D2" w14:textId="77777777" w:rsidR="0008623C" w:rsidRDefault="0008623C" w:rsidP="009D3296">
      <w:pPr>
        <w:pStyle w:val="ListParagraph"/>
        <w:ind w:hanging="720"/>
      </w:pPr>
    </w:p>
    <w:p w14:paraId="27051E24" w14:textId="7A228EED" w:rsidR="0008623C" w:rsidRDefault="0083307C" w:rsidP="009D3296">
      <w:pPr>
        <w:pStyle w:val="ListParagraph"/>
        <w:numPr>
          <w:ilvl w:val="0"/>
          <w:numId w:val="6"/>
        </w:numPr>
        <w:ind w:hanging="720"/>
      </w:pPr>
      <w:r>
        <w:t xml:space="preserve">Such an outcome would be a prudent one for the benefit of present and future generations, accounting transparently for all costs and benefits (including environmental costs and benefits), taking biodiversity and ecological integrity as fundamental considerations. </w:t>
      </w:r>
    </w:p>
    <w:p w14:paraId="70FFE05D" w14:textId="77777777" w:rsidR="0008623C" w:rsidRDefault="0008623C" w:rsidP="009D3296">
      <w:pPr>
        <w:pStyle w:val="ListParagraph"/>
        <w:ind w:left="0"/>
      </w:pPr>
    </w:p>
    <w:p w14:paraId="7BC0E645" w14:textId="396EF001" w:rsidR="0008623C" w:rsidRDefault="00CA7590" w:rsidP="009D3296">
      <w:pPr>
        <w:pStyle w:val="ListParagraph"/>
        <w:numPr>
          <w:ilvl w:val="0"/>
          <w:numId w:val="6"/>
        </w:numPr>
        <w:ind w:hanging="720"/>
      </w:pPr>
      <w:r>
        <w:t>However, as currently proposed,</w:t>
      </w:r>
      <w:r w:rsidR="00421FBE">
        <w:t xml:space="preserve"> the </w:t>
      </w:r>
      <w:r>
        <w:t xml:space="preserve">NELP </w:t>
      </w:r>
      <w:r w:rsidR="00421FBE">
        <w:t xml:space="preserve">Reference Design </w:t>
      </w:r>
      <w:r>
        <w:t xml:space="preserve">is not </w:t>
      </w:r>
      <w:r w:rsidR="00421FBE">
        <w:t xml:space="preserve">an acceptable outcome. </w:t>
      </w:r>
    </w:p>
    <w:p w14:paraId="324ED084" w14:textId="77777777" w:rsidR="0008623C" w:rsidRDefault="0008623C" w:rsidP="009D3296">
      <w:pPr>
        <w:pStyle w:val="ListParagraph"/>
        <w:ind w:hanging="720"/>
      </w:pPr>
    </w:p>
    <w:p w14:paraId="0A4712C9" w14:textId="6FFA299B" w:rsidR="0008623C" w:rsidRDefault="00533927" w:rsidP="009D3296">
      <w:pPr>
        <w:pStyle w:val="ListParagraph"/>
        <w:numPr>
          <w:ilvl w:val="0"/>
          <w:numId w:val="6"/>
        </w:numPr>
        <w:ind w:hanging="720"/>
      </w:pPr>
      <w:r>
        <w:t>Even if there is strategic justification for the NELP alignment in general, the Reference Design contains certain critical unknowns</w:t>
      </w:r>
      <w:r w:rsidR="00CA7590">
        <w:t xml:space="preserve"> including:</w:t>
      </w:r>
    </w:p>
    <w:p w14:paraId="38AC9A21" w14:textId="77777777" w:rsidR="0008623C" w:rsidRDefault="0008623C" w:rsidP="009D3296">
      <w:pPr>
        <w:pStyle w:val="ListParagraph"/>
        <w:ind w:left="1338" w:hanging="720"/>
      </w:pPr>
    </w:p>
    <w:p w14:paraId="4D434A11" w14:textId="045EFA98" w:rsidR="0008623C" w:rsidRDefault="00CA7590" w:rsidP="0008623C">
      <w:pPr>
        <w:pStyle w:val="ListParagraph"/>
        <w:numPr>
          <w:ilvl w:val="0"/>
          <w:numId w:val="51"/>
        </w:numPr>
        <w:ind w:left="1338"/>
      </w:pPr>
      <w:r>
        <w:t>t</w:t>
      </w:r>
      <w:r w:rsidR="0008623C">
        <w:t xml:space="preserve">he impact of groundwater drawdown on sensitive environmental assets, including the Yarra River </w:t>
      </w:r>
      <w:r>
        <w:t>floodplain; and</w:t>
      </w:r>
    </w:p>
    <w:p w14:paraId="297D3BF4" w14:textId="77777777" w:rsidR="0008623C" w:rsidRDefault="0008623C" w:rsidP="0008623C">
      <w:pPr>
        <w:pStyle w:val="ListParagraph"/>
        <w:ind w:left="2064"/>
      </w:pPr>
    </w:p>
    <w:p w14:paraId="4471C7F2" w14:textId="4AC04055" w:rsidR="0008623C" w:rsidRDefault="00CA7590" w:rsidP="0008623C">
      <w:pPr>
        <w:pStyle w:val="ListParagraph"/>
        <w:numPr>
          <w:ilvl w:val="0"/>
          <w:numId w:val="51"/>
        </w:numPr>
        <w:ind w:left="1338"/>
      </w:pPr>
      <w:r>
        <w:t>w</w:t>
      </w:r>
      <w:r w:rsidR="0008623C">
        <w:t>hether increased impervious surfaces and runoff to sensitive environmental areas can be managed in a way that achieves a sustainable outcome and contributes to waterway health</w:t>
      </w:r>
      <w:r>
        <w:t>.</w:t>
      </w:r>
    </w:p>
    <w:p w14:paraId="63A860FD" w14:textId="77777777" w:rsidR="0008623C" w:rsidRDefault="0008623C" w:rsidP="0008623C">
      <w:pPr>
        <w:pStyle w:val="ListParagraph"/>
      </w:pPr>
    </w:p>
    <w:p w14:paraId="632CEA26" w14:textId="77777777" w:rsidR="0008623C" w:rsidRDefault="00B84760" w:rsidP="009D3296">
      <w:pPr>
        <w:pStyle w:val="ListParagraph"/>
        <w:numPr>
          <w:ilvl w:val="0"/>
          <w:numId w:val="6"/>
        </w:numPr>
        <w:ind w:hanging="720"/>
      </w:pPr>
      <w:r>
        <w:t xml:space="preserve">The Reference Design contains </w:t>
      </w:r>
      <w:r w:rsidR="00E4703E">
        <w:t>important</w:t>
      </w:r>
      <w:r w:rsidR="00B8111B">
        <w:t xml:space="preserve"> unc</w:t>
      </w:r>
      <w:r w:rsidR="0080415E">
        <w:t>ertainties that may</w:t>
      </w:r>
      <w:r w:rsidR="00C214D8">
        <w:t xml:space="preserve"> or may not</w:t>
      </w:r>
      <w:r w:rsidR="0080415E">
        <w:t xml:space="preserve"> be manageable through EPRs, such as</w:t>
      </w:r>
      <w:r w:rsidR="0008623C">
        <w:t>:</w:t>
      </w:r>
    </w:p>
    <w:p w14:paraId="36CC3AD4" w14:textId="77777777" w:rsidR="0008623C" w:rsidRDefault="0080415E" w:rsidP="0008623C">
      <w:pPr>
        <w:pStyle w:val="ListParagraph"/>
        <w:ind w:left="1440"/>
      </w:pPr>
      <w:r>
        <w:t xml:space="preserve"> </w:t>
      </w:r>
    </w:p>
    <w:p w14:paraId="3FF05A05" w14:textId="7660199E" w:rsidR="0008623C" w:rsidRDefault="00CA7590" w:rsidP="0008623C">
      <w:pPr>
        <w:pStyle w:val="ListParagraph"/>
        <w:numPr>
          <w:ilvl w:val="0"/>
          <w:numId w:val="37"/>
        </w:numPr>
        <w:ind w:left="1440" w:hanging="720"/>
      </w:pPr>
      <w:r>
        <w:t>t</w:t>
      </w:r>
      <w:r w:rsidR="0008623C">
        <w:t>he viability and success of a Tree Canopy Replacement Plan as a device for achieving an overall ‘net gain’ for the environment</w:t>
      </w:r>
      <w:r>
        <w:t xml:space="preserve"> </w:t>
      </w:r>
      <w:r w:rsidR="0008623C">
        <w:t>in Melbourne’s east and metropolitan area more broadly</w:t>
      </w:r>
      <w:r>
        <w:t>; and</w:t>
      </w:r>
    </w:p>
    <w:p w14:paraId="3ECD2B06" w14:textId="77777777" w:rsidR="0008623C" w:rsidRDefault="0008623C" w:rsidP="0008623C">
      <w:pPr>
        <w:pStyle w:val="ListParagraph"/>
        <w:ind w:left="1440"/>
      </w:pPr>
    </w:p>
    <w:p w14:paraId="5F414C7D" w14:textId="5FC3BA22" w:rsidR="0008623C" w:rsidRDefault="00CA7590" w:rsidP="0008623C">
      <w:pPr>
        <w:pStyle w:val="ListParagraph"/>
        <w:numPr>
          <w:ilvl w:val="0"/>
          <w:numId w:val="37"/>
        </w:numPr>
        <w:ind w:left="1440" w:hanging="720"/>
      </w:pPr>
      <w:r>
        <w:t>t</w:t>
      </w:r>
      <w:r w:rsidR="0008623C">
        <w:t xml:space="preserve">he provision of an environmental watering program for Bolin </w:t>
      </w:r>
      <w:proofErr w:type="spellStart"/>
      <w:r w:rsidR="0008623C">
        <w:t>Bolin</w:t>
      </w:r>
      <w:proofErr w:type="spellEnd"/>
      <w:r w:rsidR="0008623C">
        <w:t xml:space="preserve"> Billabong and for other sensitive GDEs (such as Large Old Trees within Plains Grass Woodland) for the life of the NELP.</w:t>
      </w:r>
    </w:p>
    <w:p w14:paraId="4CAFB08D" w14:textId="3AB8EB70" w:rsidR="0008623C" w:rsidRDefault="0008623C" w:rsidP="0008623C">
      <w:pPr>
        <w:pStyle w:val="ListParagraph"/>
      </w:pPr>
    </w:p>
    <w:p w14:paraId="27A1911E" w14:textId="27AD9A6A" w:rsidR="0008623C" w:rsidRDefault="00E32A9C" w:rsidP="009D3296">
      <w:pPr>
        <w:pStyle w:val="ListParagraph"/>
        <w:numPr>
          <w:ilvl w:val="0"/>
          <w:numId w:val="6"/>
        </w:numPr>
        <w:ind w:hanging="720"/>
      </w:pPr>
      <w:r>
        <w:t xml:space="preserve">The Reference Design contains measures that </w:t>
      </w:r>
      <w:r w:rsidR="00CA7590">
        <w:t xml:space="preserve">seek </w:t>
      </w:r>
      <w:r w:rsidR="008F7152">
        <w:t xml:space="preserve">to </w:t>
      </w:r>
      <w:r>
        <w:t xml:space="preserve">avoid </w:t>
      </w:r>
      <w:r w:rsidR="000A5D6B">
        <w:t xml:space="preserve">certain </w:t>
      </w:r>
      <w:r>
        <w:t>detrimental outcomes to sensitive environmental areas</w:t>
      </w:r>
      <w:r w:rsidR="00CA7590">
        <w:t>, most notably the bored t</w:t>
      </w:r>
      <w:r w:rsidR="0008623C">
        <w:t>unnel under the Yarra River</w:t>
      </w:r>
      <w:r w:rsidR="00CA7590">
        <w:t>.</w:t>
      </w:r>
      <w:r w:rsidR="0008623C">
        <w:t xml:space="preserve"> </w:t>
      </w:r>
    </w:p>
    <w:p w14:paraId="35696702" w14:textId="77777777" w:rsidR="0008623C" w:rsidRDefault="0008623C" w:rsidP="0008623C">
      <w:pPr>
        <w:pStyle w:val="ListParagraph"/>
      </w:pPr>
    </w:p>
    <w:p w14:paraId="2E3D26BD" w14:textId="2021871A" w:rsidR="0008623C" w:rsidRDefault="00CA7590" w:rsidP="009D3296">
      <w:pPr>
        <w:pStyle w:val="ListParagraph"/>
        <w:numPr>
          <w:ilvl w:val="0"/>
          <w:numId w:val="6"/>
        </w:numPr>
        <w:ind w:hanging="720"/>
      </w:pPr>
      <w:r>
        <w:t>However, t</w:t>
      </w:r>
      <w:r w:rsidR="0080415E">
        <w:t xml:space="preserve">he Reference Design contains certain known or likely outcomes that </w:t>
      </w:r>
      <w:r w:rsidR="00670918">
        <w:t xml:space="preserve">will result in unacceptable </w:t>
      </w:r>
      <w:r w:rsidR="0080415E">
        <w:t>ecological outcomes</w:t>
      </w:r>
      <w:r w:rsidR="00670918">
        <w:t>, including:</w:t>
      </w:r>
    </w:p>
    <w:p w14:paraId="76B805C2" w14:textId="77777777" w:rsidR="0008623C" w:rsidRDefault="0008623C" w:rsidP="0008623C">
      <w:pPr>
        <w:pStyle w:val="ListParagraph"/>
        <w:ind w:left="1344"/>
      </w:pPr>
    </w:p>
    <w:p w14:paraId="631020B5" w14:textId="4148BE4C" w:rsidR="0008623C" w:rsidRDefault="00670918" w:rsidP="0008623C">
      <w:pPr>
        <w:pStyle w:val="ListParagraph"/>
        <w:numPr>
          <w:ilvl w:val="0"/>
          <w:numId w:val="52"/>
        </w:numPr>
      </w:pPr>
      <w:r>
        <w:t>l</w:t>
      </w:r>
      <w:r w:rsidR="0008623C">
        <w:t>oss of significant areas of native vegetation including endangered EVCs and rare or threatened species</w:t>
      </w:r>
      <w:r>
        <w:t>;</w:t>
      </w:r>
    </w:p>
    <w:p w14:paraId="7CC3BB15" w14:textId="77777777" w:rsidR="0008623C" w:rsidRDefault="0008623C" w:rsidP="0008623C">
      <w:pPr>
        <w:pStyle w:val="ListParagraph"/>
      </w:pPr>
    </w:p>
    <w:p w14:paraId="7BED1414" w14:textId="1EB938E3" w:rsidR="0008623C" w:rsidRDefault="00670918" w:rsidP="0008623C">
      <w:pPr>
        <w:pStyle w:val="ListParagraph"/>
        <w:numPr>
          <w:ilvl w:val="0"/>
          <w:numId w:val="52"/>
        </w:numPr>
      </w:pPr>
      <w:r>
        <w:t>s</w:t>
      </w:r>
      <w:r w:rsidR="0008623C">
        <w:t>ignificant loss of tree canopy and planted understorey across the project area representing several decades of produced urban biodiversity</w:t>
      </w:r>
      <w:r>
        <w:t>;</w:t>
      </w:r>
    </w:p>
    <w:p w14:paraId="5128426B" w14:textId="77777777" w:rsidR="0008623C" w:rsidRDefault="0008623C" w:rsidP="0008623C">
      <w:pPr>
        <w:pStyle w:val="ListParagraph"/>
      </w:pPr>
    </w:p>
    <w:p w14:paraId="1088E628" w14:textId="111B1696" w:rsidR="0008623C" w:rsidRDefault="00670918" w:rsidP="0008623C">
      <w:pPr>
        <w:pStyle w:val="ListParagraph"/>
        <w:numPr>
          <w:ilvl w:val="0"/>
          <w:numId w:val="52"/>
        </w:numPr>
      </w:pPr>
      <w:r>
        <w:t>a</w:t>
      </w:r>
      <w:r w:rsidR="0008623C">
        <w:t>n increase in impervious road surfaces producing stormwater runoff and pollutant loads into the surrounding environment</w:t>
      </w:r>
      <w:r>
        <w:t>;</w:t>
      </w:r>
      <w:r w:rsidR="0008623C">
        <w:t xml:space="preserve"> </w:t>
      </w:r>
    </w:p>
    <w:p w14:paraId="6EF2337E" w14:textId="77777777" w:rsidR="0008623C" w:rsidRDefault="0008623C" w:rsidP="0008623C">
      <w:pPr>
        <w:pStyle w:val="ListParagraph"/>
      </w:pPr>
    </w:p>
    <w:p w14:paraId="5CAE53FF" w14:textId="723535B4" w:rsidR="0008623C" w:rsidRDefault="00670918" w:rsidP="0008623C">
      <w:pPr>
        <w:pStyle w:val="ListParagraph"/>
        <w:numPr>
          <w:ilvl w:val="0"/>
          <w:numId w:val="52"/>
        </w:numPr>
      </w:pPr>
      <w:r>
        <w:t>c</w:t>
      </w:r>
      <w:r w:rsidR="0008623C">
        <w:t>ontraction of important areas of biodiversity and waterways in the vicinity of the Yarra River corridor</w:t>
      </w:r>
      <w:r w:rsidR="008F7152">
        <w:t>.</w:t>
      </w:r>
    </w:p>
    <w:p w14:paraId="0370F12C" w14:textId="77777777" w:rsidR="0008623C" w:rsidRDefault="0008623C" w:rsidP="0008623C">
      <w:pPr>
        <w:pStyle w:val="ListParagraph"/>
        <w:ind w:left="1344"/>
      </w:pPr>
    </w:p>
    <w:p w14:paraId="26D934C8" w14:textId="0C0F62D5" w:rsidR="0008623C" w:rsidRDefault="00670918" w:rsidP="009D3296">
      <w:pPr>
        <w:pStyle w:val="ListParagraph"/>
        <w:numPr>
          <w:ilvl w:val="0"/>
          <w:numId w:val="6"/>
        </w:numPr>
        <w:ind w:hanging="720"/>
      </w:pPr>
      <w:r>
        <w:t>To exacerbate these unacceptable outcomes, t</w:t>
      </w:r>
      <w:r w:rsidR="008F7152">
        <w:t>here is</w:t>
      </w:r>
      <w:r w:rsidR="0008623C">
        <w:t xml:space="preserve"> no eviden</w:t>
      </w:r>
      <w:r>
        <w:t>ce that the</w:t>
      </w:r>
      <w:r w:rsidR="0008623C">
        <w:t xml:space="preserve"> approach to project design </w:t>
      </w:r>
      <w:r>
        <w:t xml:space="preserve">has attempted a </w:t>
      </w:r>
      <w:r w:rsidR="0008623C">
        <w:t>mutual accommodation and accounting for environmental objectives</w:t>
      </w:r>
      <w:r w:rsidR="00246E75">
        <w:t xml:space="preserve"> and values</w:t>
      </w:r>
      <w:r w:rsidR="0008623C">
        <w:t>.</w:t>
      </w:r>
    </w:p>
    <w:p w14:paraId="6185BF7E" w14:textId="77777777" w:rsidR="0008623C" w:rsidRDefault="0008623C" w:rsidP="0008623C">
      <w:pPr>
        <w:pStyle w:val="ListParagraph"/>
      </w:pPr>
    </w:p>
    <w:p w14:paraId="36AACF8D" w14:textId="2DF8E23D" w:rsidR="00B8456C" w:rsidRDefault="00D37272" w:rsidP="009D3296">
      <w:pPr>
        <w:pStyle w:val="ListParagraph"/>
        <w:numPr>
          <w:ilvl w:val="0"/>
          <w:numId w:val="6"/>
        </w:numPr>
        <w:ind w:hanging="720"/>
      </w:pPr>
      <w:r>
        <w:t xml:space="preserve">On the basis of </w:t>
      </w:r>
      <w:r w:rsidR="00025579">
        <w:t xml:space="preserve">the above, </w:t>
      </w:r>
      <w:r w:rsidR="006B6BC1">
        <w:t xml:space="preserve">we submit the </w:t>
      </w:r>
      <w:r w:rsidR="00670918">
        <w:t>IAC</w:t>
      </w:r>
      <w:r w:rsidR="006B6BC1">
        <w:t xml:space="preserve"> should recommend</w:t>
      </w:r>
      <w:r w:rsidR="00B8456C">
        <w:t>:</w:t>
      </w:r>
    </w:p>
    <w:p w14:paraId="69A579C2" w14:textId="60C9B284" w:rsidR="00E32A9C" w:rsidRDefault="00E32A9C" w:rsidP="00B8456C">
      <w:pPr>
        <w:pStyle w:val="ListParagraph"/>
      </w:pPr>
    </w:p>
    <w:p w14:paraId="1203957F" w14:textId="62DA6D10" w:rsidR="00670918" w:rsidRDefault="00670918" w:rsidP="009D3296">
      <w:pPr>
        <w:pStyle w:val="ListParagraph"/>
        <w:numPr>
          <w:ilvl w:val="1"/>
          <w:numId w:val="6"/>
        </w:numPr>
      </w:pPr>
      <w:r>
        <w:t>a</w:t>
      </w:r>
      <w:r w:rsidR="007610F2">
        <w:t xml:space="preserve"> Supplementary S</w:t>
      </w:r>
      <w:r w:rsidR="006B6BC1">
        <w:t xml:space="preserve">tatement concerning groundwater impacts, management of surface water impacts, </w:t>
      </w:r>
      <w:r w:rsidR="00C90BEE">
        <w:t xml:space="preserve">and </w:t>
      </w:r>
      <w:r w:rsidR="006B6BC1">
        <w:t>‘urban forest’ and tree canopy outc</w:t>
      </w:r>
      <w:r w:rsidR="00C90BEE">
        <w:t>omes</w:t>
      </w:r>
      <w:r>
        <w:t>;</w:t>
      </w:r>
    </w:p>
    <w:p w14:paraId="7096D9D9" w14:textId="77777777" w:rsidR="00246E75" w:rsidRDefault="00246E75" w:rsidP="00246E75">
      <w:pPr>
        <w:pStyle w:val="ListParagraph"/>
        <w:ind w:left="1440"/>
      </w:pPr>
    </w:p>
    <w:p w14:paraId="2F086F34" w14:textId="459EF43E" w:rsidR="00231A6D" w:rsidRDefault="00231A6D" w:rsidP="009D3296">
      <w:pPr>
        <w:pStyle w:val="ListParagraph"/>
        <w:numPr>
          <w:ilvl w:val="1"/>
          <w:numId w:val="6"/>
        </w:numPr>
      </w:pPr>
      <w:r>
        <w:t>in the absence of a Supplementary Statement concerning groundwater impacts, adoption of changes to</w:t>
      </w:r>
      <w:r w:rsidR="00B53342">
        <w:t xml:space="preserve"> EPR FF6 proposed by Dr Lorimer;</w:t>
      </w:r>
      <w:r>
        <w:rPr>
          <w:rStyle w:val="FootnoteReference"/>
        </w:rPr>
        <w:footnoteReference w:id="98"/>
      </w:r>
    </w:p>
    <w:p w14:paraId="53F419F0" w14:textId="77777777" w:rsidR="00C17FB0" w:rsidRDefault="00C17FB0" w:rsidP="00C17FB0">
      <w:pPr>
        <w:pStyle w:val="ListParagraph"/>
        <w:ind w:left="1440"/>
      </w:pPr>
    </w:p>
    <w:p w14:paraId="1C08CD76" w14:textId="06420ACA" w:rsidR="00670918" w:rsidRDefault="00C17FB0" w:rsidP="00C17FB0">
      <w:pPr>
        <w:pStyle w:val="ListParagraph"/>
        <w:numPr>
          <w:ilvl w:val="1"/>
          <w:numId w:val="6"/>
        </w:numPr>
      </w:pPr>
      <w:r>
        <w:t>design outcomes should avoid the widening of the Eastern Freeway, especially east of Bulleen Road, and avoid land clearing impacting on Simpson Army Barracks</w:t>
      </w:r>
      <w:r w:rsidR="00DF0561">
        <w:t xml:space="preserve"> (‘enhanced avoidance efforts’)</w:t>
      </w:r>
      <w:r>
        <w:t xml:space="preserve">; </w:t>
      </w:r>
    </w:p>
    <w:p w14:paraId="21721B36" w14:textId="77777777" w:rsidR="00246E75" w:rsidRDefault="00246E75" w:rsidP="00246E75">
      <w:pPr>
        <w:pStyle w:val="ListParagraph"/>
      </w:pPr>
    </w:p>
    <w:p w14:paraId="77B8D0C4" w14:textId="4AF38743" w:rsidR="009E24F7" w:rsidRDefault="00246E75" w:rsidP="00C17FB0">
      <w:pPr>
        <w:pStyle w:val="ListParagraph"/>
        <w:numPr>
          <w:ilvl w:val="1"/>
          <w:numId w:val="6"/>
        </w:numPr>
      </w:pPr>
      <w:r>
        <w:t xml:space="preserve">in the context of enhanced avoidance efforts that nevertheless lead to removal or destruction of native vegetation, amendment of the existing FF2 to require </w:t>
      </w:r>
      <w:r w:rsidR="009E24F7">
        <w:t>enhanced compensatory outcomes, such as those proposed by Dr Lorimer,</w:t>
      </w:r>
      <w:r w:rsidR="00B37917">
        <w:rPr>
          <w:rStyle w:val="FootnoteReference"/>
        </w:rPr>
        <w:footnoteReference w:id="99"/>
      </w:r>
      <w:r w:rsidR="009E24F7">
        <w:t xml:space="preserve"> but qualified further by </w:t>
      </w:r>
    </w:p>
    <w:p w14:paraId="7AE02037" w14:textId="77777777" w:rsidR="009E24F7" w:rsidRDefault="009E24F7" w:rsidP="009E24F7">
      <w:pPr>
        <w:pStyle w:val="ListParagraph"/>
      </w:pPr>
    </w:p>
    <w:p w14:paraId="7B0DB215" w14:textId="12679EAA" w:rsidR="00246E75" w:rsidRDefault="009E24F7" w:rsidP="009E24F7">
      <w:pPr>
        <w:pStyle w:val="ListParagraph"/>
        <w:numPr>
          <w:ilvl w:val="2"/>
          <w:numId w:val="6"/>
        </w:numPr>
      </w:pPr>
      <w:r>
        <w:t xml:space="preserve">a requirement that </w:t>
      </w:r>
      <w:r w:rsidR="00DF0561">
        <w:t>a minimum proportion of ‘general units’ be achieved in Endangered EVCs of the same type as those removed;</w:t>
      </w:r>
    </w:p>
    <w:p w14:paraId="2C3EA957" w14:textId="77777777" w:rsidR="00B53342" w:rsidRDefault="00B53342" w:rsidP="00B53342">
      <w:pPr>
        <w:pStyle w:val="ListParagraph"/>
        <w:ind w:left="2160"/>
      </w:pPr>
    </w:p>
    <w:p w14:paraId="422457DC" w14:textId="5EC38C70" w:rsidR="00DF0561" w:rsidRDefault="00DF0561" w:rsidP="009E24F7">
      <w:pPr>
        <w:pStyle w:val="ListParagraph"/>
        <w:numPr>
          <w:ilvl w:val="2"/>
          <w:numId w:val="6"/>
        </w:numPr>
      </w:pPr>
      <w:r>
        <w:t xml:space="preserve">a requirement that </w:t>
      </w:r>
      <w:r w:rsidR="00641B2D">
        <w:t xml:space="preserve">all enhanced compensatory outcomes </w:t>
      </w:r>
      <w:r w:rsidR="00957349">
        <w:t xml:space="preserve">serve and are consistent with adoption of BSUD principles and protocols. </w:t>
      </w:r>
    </w:p>
    <w:p w14:paraId="49B4E5EE" w14:textId="77777777" w:rsidR="00670918" w:rsidRDefault="00670918" w:rsidP="009D3296">
      <w:pPr>
        <w:pStyle w:val="ListParagraph"/>
        <w:ind w:left="1440"/>
      </w:pPr>
    </w:p>
    <w:p w14:paraId="441153E2" w14:textId="77777777" w:rsidR="007610F2" w:rsidRDefault="00670918" w:rsidP="007610F2">
      <w:pPr>
        <w:pStyle w:val="ListParagraph"/>
        <w:numPr>
          <w:ilvl w:val="1"/>
          <w:numId w:val="6"/>
        </w:numPr>
      </w:pPr>
      <w:r>
        <w:t>a</w:t>
      </w:r>
      <w:r w:rsidR="00C90BEE">
        <w:t xml:space="preserve"> new EPR providing for BSUD protocols in project design going forward</w:t>
      </w:r>
      <w:r w:rsidR="007610F2">
        <w:t>. i.e.</w:t>
      </w:r>
    </w:p>
    <w:p w14:paraId="29F5A352" w14:textId="77777777" w:rsidR="007610F2" w:rsidRDefault="007610F2" w:rsidP="007610F2">
      <w:pPr>
        <w:pStyle w:val="ListParagraph"/>
      </w:pPr>
    </w:p>
    <w:p w14:paraId="1444EFC5" w14:textId="77777777" w:rsidR="007610F2" w:rsidRPr="007610F2" w:rsidRDefault="007610F2" w:rsidP="007610F2">
      <w:pPr>
        <w:pStyle w:val="ListParagraph"/>
        <w:ind w:left="2160"/>
        <w:rPr>
          <w:b/>
          <w:i/>
          <w:sz w:val="20"/>
        </w:rPr>
      </w:pPr>
      <w:r w:rsidRPr="007610F2">
        <w:rPr>
          <w:b/>
          <w:i/>
          <w:sz w:val="20"/>
        </w:rPr>
        <w:t xml:space="preserve">EPR (FF1) – Reflective of the BSUD protocol: </w:t>
      </w:r>
    </w:p>
    <w:p w14:paraId="76A7F6B0" w14:textId="77777777" w:rsidR="007610F2" w:rsidRPr="007610F2" w:rsidRDefault="007610F2" w:rsidP="007610F2">
      <w:pPr>
        <w:pStyle w:val="ListParagraph"/>
        <w:ind w:left="2160"/>
        <w:rPr>
          <w:b/>
          <w:i/>
          <w:sz w:val="20"/>
        </w:rPr>
      </w:pPr>
    </w:p>
    <w:p w14:paraId="3D293A92" w14:textId="77777777" w:rsidR="007610F2" w:rsidRPr="007610F2" w:rsidRDefault="007610F2" w:rsidP="007610F2">
      <w:pPr>
        <w:pStyle w:val="ListParagraph"/>
        <w:ind w:left="2160"/>
        <w:rPr>
          <w:i/>
          <w:sz w:val="20"/>
        </w:rPr>
      </w:pPr>
      <w:r w:rsidRPr="007610F2">
        <w:rPr>
          <w:i/>
          <w:sz w:val="20"/>
        </w:rPr>
        <w:t>Adopt the principles of Biodiversity Sensitive Urban Design to achieve a net benefit to native species and ecosystems in the project area.</w:t>
      </w:r>
    </w:p>
    <w:p w14:paraId="2CD17932" w14:textId="77777777" w:rsidR="007610F2" w:rsidRPr="007610F2" w:rsidRDefault="007610F2" w:rsidP="007610F2">
      <w:pPr>
        <w:pStyle w:val="ListParagraph"/>
        <w:ind w:left="2160"/>
        <w:rPr>
          <w:i/>
          <w:sz w:val="20"/>
        </w:rPr>
      </w:pPr>
    </w:p>
    <w:p w14:paraId="361E8AC1" w14:textId="77777777" w:rsidR="007610F2" w:rsidRPr="007610F2" w:rsidRDefault="007610F2" w:rsidP="007610F2">
      <w:pPr>
        <w:pStyle w:val="ListParagraph"/>
        <w:ind w:left="2160"/>
        <w:rPr>
          <w:i/>
          <w:sz w:val="20"/>
        </w:rPr>
      </w:pPr>
      <w:r w:rsidRPr="007610F2">
        <w:rPr>
          <w:i/>
          <w:sz w:val="20"/>
        </w:rPr>
        <w:t>Apply the following protocols at the design stage:</w:t>
      </w:r>
    </w:p>
    <w:p w14:paraId="4E919462" w14:textId="77777777" w:rsidR="007610F2" w:rsidRPr="007610F2" w:rsidRDefault="007610F2" w:rsidP="007610F2">
      <w:pPr>
        <w:pStyle w:val="ListParagraph"/>
        <w:ind w:left="2160"/>
        <w:rPr>
          <w:i/>
          <w:sz w:val="20"/>
        </w:rPr>
      </w:pPr>
    </w:p>
    <w:p w14:paraId="5C2E0C05" w14:textId="77777777" w:rsidR="007610F2" w:rsidRPr="007610F2" w:rsidRDefault="007610F2" w:rsidP="007610F2">
      <w:pPr>
        <w:pStyle w:val="ListParagraph"/>
        <w:numPr>
          <w:ilvl w:val="3"/>
          <w:numId w:val="63"/>
        </w:numPr>
        <w:rPr>
          <w:i/>
          <w:sz w:val="20"/>
        </w:rPr>
      </w:pPr>
      <w:r w:rsidRPr="007610F2">
        <w:rPr>
          <w:i/>
          <w:sz w:val="20"/>
        </w:rPr>
        <w:lastRenderedPageBreak/>
        <w:t>identify and map ecological values, including the value of novel ecosystems and amenity vegetation</w:t>
      </w:r>
    </w:p>
    <w:p w14:paraId="5EAE87E1" w14:textId="77777777" w:rsidR="007610F2" w:rsidRPr="007610F2" w:rsidRDefault="007610F2" w:rsidP="007610F2">
      <w:pPr>
        <w:pStyle w:val="ListParagraph"/>
        <w:numPr>
          <w:ilvl w:val="3"/>
          <w:numId w:val="63"/>
        </w:numPr>
        <w:rPr>
          <w:i/>
          <w:sz w:val="20"/>
        </w:rPr>
      </w:pPr>
      <w:r w:rsidRPr="007610F2">
        <w:rPr>
          <w:i/>
          <w:sz w:val="20"/>
        </w:rPr>
        <w:t>define ecological objectives</w:t>
      </w:r>
    </w:p>
    <w:p w14:paraId="46F59A35" w14:textId="77777777" w:rsidR="007610F2" w:rsidRPr="007610F2" w:rsidRDefault="007610F2" w:rsidP="007610F2">
      <w:pPr>
        <w:pStyle w:val="ListParagraph"/>
        <w:numPr>
          <w:ilvl w:val="3"/>
          <w:numId w:val="63"/>
        </w:numPr>
        <w:rPr>
          <w:i/>
          <w:sz w:val="20"/>
        </w:rPr>
      </w:pPr>
      <w:r w:rsidRPr="007610F2">
        <w:rPr>
          <w:i/>
          <w:sz w:val="20"/>
        </w:rPr>
        <w:t>identify development objectives</w:t>
      </w:r>
    </w:p>
    <w:p w14:paraId="2AF44883" w14:textId="77777777" w:rsidR="007610F2" w:rsidRPr="007610F2" w:rsidRDefault="007610F2" w:rsidP="007610F2">
      <w:pPr>
        <w:pStyle w:val="ListParagraph"/>
        <w:numPr>
          <w:ilvl w:val="3"/>
          <w:numId w:val="63"/>
        </w:numPr>
        <w:rPr>
          <w:i/>
          <w:sz w:val="20"/>
        </w:rPr>
      </w:pPr>
      <w:r w:rsidRPr="007610F2">
        <w:rPr>
          <w:i/>
          <w:sz w:val="20"/>
        </w:rPr>
        <w:t>identify actions required to achieve objectives considering the five BSUD principles</w:t>
      </w:r>
    </w:p>
    <w:p w14:paraId="3BBFEE4B" w14:textId="77777777" w:rsidR="007610F2" w:rsidRPr="007610F2" w:rsidRDefault="007610F2" w:rsidP="007610F2">
      <w:pPr>
        <w:pStyle w:val="ListParagraph"/>
        <w:numPr>
          <w:ilvl w:val="3"/>
          <w:numId w:val="63"/>
        </w:numPr>
        <w:rPr>
          <w:i/>
          <w:sz w:val="20"/>
        </w:rPr>
      </w:pPr>
      <w:r w:rsidRPr="007610F2">
        <w:rPr>
          <w:i/>
          <w:sz w:val="20"/>
        </w:rPr>
        <w:t>quantitative assessment of contribution to biodiversity</w:t>
      </w:r>
    </w:p>
    <w:p w14:paraId="565989B8" w14:textId="17F1CEEA" w:rsidR="007610F2" w:rsidRPr="007610F2" w:rsidRDefault="007610F2" w:rsidP="007610F2">
      <w:pPr>
        <w:pStyle w:val="ListParagraph"/>
        <w:numPr>
          <w:ilvl w:val="3"/>
          <w:numId w:val="63"/>
        </w:numPr>
        <w:rPr>
          <w:b/>
          <w:i/>
          <w:sz w:val="20"/>
        </w:rPr>
      </w:pPr>
      <w:r w:rsidRPr="007610F2">
        <w:rPr>
          <w:i/>
          <w:sz w:val="20"/>
        </w:rPr>
        <w:t>identify the BSUD actions that best meet ecological objectives (step 2), while accommodating development objectives (step 3) for the area.</w:t>
      </w:r>
    </w:p>
    <w:p w14:paraId="329BB41C" w14:textId="77777777" w:rsidR="007610F2" w:rsidRPr="007610F2" w:rsidRDefault="007610F2" w:rsidP="007610F2">
      <w:pPr>
        <w:pStyle w:val="ListParagraph"/>
        <w:ind w:left="2880"/>
        <w:rPr>
          <w:b/>
          <w:i/>
          <w:sz w:val="20"/>
        </w:rPr>
      </w:pPr>
    </w:p>
    <w:p w14:paraId="31EAC29D" w14:textId="38BEFAA9" w:rsidR="00670918" w:rsidRPr="007610F2" w:rsidRDefault="007610F2" w:rsidP="007610F2">
      <w:pPr>
        <w:pStyle w:val="ListParagraph"/>
        <w:ind w:left="2127"/>
        <w:rPr>
          <w:b/>
          <w:i/>
          <w:sz w:val="18"/>
        </w:rPr>
      </w:pPr>
      <w:r w:rsidRPr="007610F2">
        <w:rPr>
          <w:i/>
          <w:sz w:val="20"/>
        </w:rPr>
        <w:t>Adopt a governance framework to ensure multi-disciplinary and transparent arrangements for scoping, designing, monitoring and adapting project components and technical knowledge inputs in accordance with BSUD.</w:t>
      </w:r>
    </w:p>
    <w:p w14:paraId="15A8DAA2" w14:textId="77777777" w:rsidR="00C17FB0" w:rsidRDefault="00C17FB0" w:rsidP="00C17FB0">
      <w:pPr>
        <w:pStyle w:val="ListParagraph"/>
        <w:ind w:left="1440"/>
      </w:pPr>
    </w:p>
    <w:p w14:paraId="1285D80D" w14:textId="510FBA0B" w:rsidR="00C17FB0" w:rsidRDefault="00C17FB0" w:rsidP="00C17FB0">
      <w:pPr>
        <w:pStyle w:val="ListParagraph"/>
        <w:numPr>
          <w:ilvl w:val="1"/>
          <w:numId w:val="6"/>
        </w:numPr>
      </w:pPr>
      <w:r w:rsidRPr="007610F2">
        <w:t xml:space="preserve">subject to the findings of a Supplementary Statement on urban forest impacts and outcomes, amendment of EPR AR3 and drafting of a new EPR concerning understorey replacement (as per </w:t>
      </w:r>
      <w:r>
        <w:t>the recommendation</w:t>
      </w:r>
      <w:r w:rsidR="00B53342">
        <w:t>s</w:t>
      </w:r>
      <w:r>
        <w:t xml:space="preserve"> of Dr Lorimer and </w:t>
      </w:r>
      <w:proofErr w:type="spellStart"/>
      <w:r>
        <w:t>Prof.</w:t>
      </w:r>
      <w:proofErr w:type="spellEnd"/>
      <w:r>
        <w:t xml:space="preserve"> Bekessy</w:t>
      </w:r>
      <w:r w:rsidRPr="007610F2">
        <w:t>)</w:t>
      </w:r>
      <w:r>
        <w:t xml:space="preserve">. i.e. </w:t>
      </w:r>
    </w:p>
    <w:p w14:paraId="7BD50435" w14:textId="77777777" w:rsidR="00C17FB0" w:rsidRDefault="00C17FB0" w:rsidP="00C17FB0">
      <w:pPr>
        <w:pStyle w:val="ListParagraph"/>
        <w:ind w:left="1440"/>
      </w:pPr>
    </w:p>
    <w:p w14:paraId="63851DD5" w14:textId="77777777" w:rsidR="00C17FB0" w:rsidRPr="00C17FB0" w:rsidRDefault="00C17FB0" w:rsidP="00C17FB0">
      <w:pPr>
        <w:pStyle w:val="ListParagraph"/>
        <w:ind w:left="2160"/>
        <w:rPr>
          <w:i/>
          <w:sz w:val="20"/>
        </w:rPr>
      </w:pPr>
      <w:r w:rsidRPr="00C17FB0">
        <w:rPr>
          <w:i/>
          <w:sz w:val="20"/>
        </w:rPr>
        <w:t xml:space="preserve">Use an agreed valuation method to account for the loss of amenity and environment services, such as the City of Melbourne’s Tree Valuation Method, which uses the formula: </w:t>
      </w:r>
    </w:p>
    <w:p w14:paraId="1052E31D" w14:textId="77777777" w:rsidR="00C17FB0" w:rsidRPr="00C17FB0" w:rsidRDefault="00C17FB0" w:rsidP="00C17FB0">
      <w:pPr>
        <w:pStyle w:val="ListParagraph"/>
        <w:ind w:left="2160"/>
        <w:rPr>
          <w:i/>
          <w:sz w:val="20"/>
        </w:rPr>
      </w:pPr>
    </w:p>
    <w:p w14:paraId="48AC0D9D" w14:textId="54245161" w:rsidR="00C17FB0" w:rsidRPr="00C17FB0" w:rsidRDefault="00C17FB0" w:rsidP="00C17FB0">
      <w:pPr>
        <w:pStyle w:val="ListParagraph"/>
        <w:ind w:left="2160"/>
        <w:rPr>
          <w:i/>
          <w:sz w:val="20"/>
        </w:rPr>
      </w:pPr>
      <w:r w:rsidRPr="00C17FB0">
        <w:rPr>
          <w:i/>
          <w:sz w:val="20"/>
        </w:rPr>
        <w:t>Value (V) = Basic Value ($) x Species (S) x Aesthetics (A) x Locality (L) x Condition (C)</w:t>
      </w:r>
    </w:p>
    <w:p w14:paraId="74073161" w14:textId="77777777" w:rsidR="00670918" w:rsidRDefault="00670918" w:rsidP="009D3296">
      <w:pPr>
        <w:pStyle w:val="ListParagraph"/>
      </w:pPr>
    </w:p>
    <w:p w14:paraId="57491BA7" w14:textId="65FF2FA9" w:rsidR="00E26EBF" w:rsidRDefault="008A217B" w:rsidP="009D3296">
      <w:pPr>
        <w:pStyle w:val="ListParagraph"/>
        <w:numPr>
          <w:ilvl w:val="0"/>
          <w:numId w:val="6"/>
        </w:numPr>
        <w:ind w:hanging="720"/>
      </w:pPr>
      <w:r>
        <w:t xml:space="preserve">In the absence of such recommendations, </w:t>
      </w:r>
      <w:r w:rsidR="00160795">
        <w:t xml:space="preserve">we submit that the proponent has not made the case that the </w:t>
      </w:r>
      <w:r w:rsidR="00B53342">
        <w:t>NELP</w:t>
      </w:r>
      <w:r w:rsidR="00160795">
        <w:t xml:space="preserve"> is acceptable. </w:t>
      </w:r>
    </w:p>
    <w:p w14:paraId="7FE74D1B" w14:textId="2EC7E941" w:rsidR="00CF52A8" w:rsidRDefault="00CF52A8" w:rsidP="00CF52A8"/>
    <w:p w14:paraId="464C2C91" w14:textId="77777777" w:rsidR="00CF52A8" w:rsidRDefault="00CF52A8">
      <w:r>
        <w:br w:type="page"/>
      </w:r>
    </w:p>
    <w:p w14:paraId="229E524C" w14:textId="77777777" w:rsidR="00CF52A8" w:rsidRDefault="00CF52A8" w:rsidP="00CF52A8"/>
    <w:p w14:paraId="07768FA5" w14:textId="7180B6F8" w:rsidR="00CF52A8" w:rsidRDefault="00CF52A8" w:rsidP="00CF52A8">
      <w:pPr>
        <w:pStyle w:val="Heading1"/>
        <w:numPr>
          <w:ilvl w:val="0"/>
          <w:numId w:val="42"/>
        </w:numPr>
        <w:ind w:left="426"/>
      </w:pPr>
      <w:bookmarkStart w:id="37" w:name="_Toc18573020"/>
      <w:bookmarkStart w:id="38" w:name="_Toc18592033"/>
      <w:r>
        <w:t>Appendices</w:t>
      </w:r>
      <w:bookmarkEnd w:id="37"/>
      <w:bookmarkEnd w:id="38"/>
    </w:p>
    <w:sectPr w:rsidR="00CF52A8" w:rsidSect="00EB14A0">
      <w:footerReference w:type="default" r:id="rId12"/>
      <w:pgSz w:w="11906" w:h="16838"/>
      <w:pgMar w:top="1440" w:right="1440" w:bottom="1418"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8ABED" w16cid:durableId="211ABA44"/>
  <w16cid:commentId w16cid:paraId="4CC721B9" w16cid:durableId="211ABA45"/>
  <w16cid:commentId w16cid:paraId="1146A975" w16cid:durableId="211AD6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E19B" w14:textId="77777777" w:rsidR="008F7152" w:rsidRDefault="008F7152" w:rsidP="00424C99">
      <w:pPr>
        <w:spacing w:after="0" w:line="240" w:lineRule="auto"/>
      </w:pPr>
      <w:r>
        <w:separator/>
      </w:r>
    </w:p>
  </w:endnote>
  <w:endnote w:type="continuationSeparator" w:id="0">
    <w:p w14:paraId="363B3171" w14:textId="77777777" w:rsidR="008F7152" w:rsidRDefault="008F7152" w:rsidP="00424C99">
      <w:pPr>
        <w:spacing w:after="0" w:line="240" w:lineRule="auto"/>
      </w:pPr>
      <w:r>
        <w:continuationSeparator/>
      </w:r>
    </w:p>
  </w:endnote>
  <w:endnote w:type="continuationNotice" w:id="1">
    <w:p w14:paraId="35E44E2F" w14:textId="77777777" w:rsidR="008F7152" w:rsidRDefault="008F7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22621"/>
      <w:docPartObj>
        <w:docPartGallery w:val="Page Numbers (Bottom of Page)"/>
        <w:docPartUnique/>
      </w:docPartObj>
    </w:sdtPr>
    <w:sdtEndPr>
      <w:rPr>
        <w:color w:val="7F7F7F" w:themeColor="background1" w:themeShade="7F"/>
        <w:spacing w:val="60"/>
      </w:rPr>
    </w:sdtEndPr>
    <w:sdtContent>
      <w:p w14:paraId="07685FE7" w14:textId="4F2DDA38" w:rsidR="008F7152" w:rsidRPr="00430F9D" w:rsidRDefault="008F7152" w:rsidP="00430F9D">
        <w:pPr>
          <w:pStyle w:val="Footer"/>
          <w:pBdr>
            <w:top w:val="single" w:sz="4" w:space="1" w:color="D9D9D9" w:themeColor="background1" w:themeShade="D9"/>
          </w:pBdr>
          <w:rPr>
            <w:b/>
          </w:rPr>
        </w:pPr>
        <w:r>
          <w:fldChar w:fldCharType="begin"/>
        </w:r>
        <w:r>
          <w:instrText xml:space="preserve"> PAGE   \* MERGEFORMAT </w:instrText>
        </w:r>
        <w:r>
          <w:fldChar w:fldCharType="separate"/>
        </w:r>
        <w:r w:rsidR="009172C5" w:rsidRPr="009172C5">
          <w:rPr>
            <w:b/>
            <w:bCs/>
            <w:noProof/>
          </w:rPr>
          <w:t>26</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966C3" w14:textId="77777777" w:rsidR="008F7152" w:rsidRDefault="008F7152" w:rsidP="00424C99">
      <w:pPr>
        <w:spacing w:after="0" w:line="240" w:lineRule="auto"/>
      </w:pPr>
      <w:r>
        <w:separator/>
      </w:r>
    </w:p>
  </w:footnote>
  <w:footnote w:type="continuationSeparator" w:id="0">
    <w:p w14:paraId="1DE562A1" w14:textId="77777777" w:rsidR="008F7152" w:rsidRDefault="008F7152" w:rsidP="00424C99">
      <w:pPr>
        <w:spacing w:after="0" w:line="240" w:lineRule="auto"/>
      </w:pPr>
      <w:r>
        <w:continuationSeparator/>
      </w:r>
    </w:p>
  </w:footnote>
  <w:footnote w:type="continuationNotice" w:id="1">
    <w:p w14:paraId="6357C05C" w14:textId="77777777" w:rsidR="008F7152" w:rsidRDefault="008F7152">
      <w:pPr>
        <w:spacing w:after="0" w:line="240" w:lineRule="auto"/>
      </w:pPr>
    </w:p>
  </w:footnote>
  <w:footnote w:id="2">
    <w:p w14:paraId="4C496AAB" w14:textId="20E8761F" w:rsidR="008F7152" w:rsidRPr="009D3296" w:rsidRDefault="008F7152">
      <w:pPr>
        <w:pStyle w:val="FootnoteText"/>
        <w:rPr>
          <w:lang w:val="en-US"/>
        </w:rPr>
      </w:pPr>
      <w:r>
        <w:rPr>
          <w:rStyle w:val="FootnoteReference"/>
        </w:rPr>
        <w:footnoteRef/>
      </w:r>
      <w:r>
        <w:t xml:space="preserve"> &lt;</w:t>
      </w:r>
      <w:hyperlink r:id="rId1" w:history="1">
        <w:r w:rsidRPr="002E6CF1">
          <w:rPr>
            <w:rStyle w:val="Hyperlink"/>
          </w:rPr>
          <w:t>https://waterkeeper.org/</w:t>
        </w:r>
      </w:hyperlink>
      <w:r>
        <w:t xml:space="preserve">&gt;. </w:t>
      </w:r>
    </w:p>
  </w:footnote>
  <w:footnote w:id="3">
    <w:p w14:paraId="3912B412" w14:textId="77777777" w:rsidR="008F7152" w:rsidRDefault="008F7152" w:rsidP="002E6CF1">
      <w:pPr>
        <w:pStyle w:val="FootnoteText"/>
      </w:pPr>
      <w:r>
        <w:rPr>
          <w:rStyle w:val="FootnoteReference"/>
        </w:rPr>
        <w:footnoteRef/>
      </w:r>
      <w:r>
        <w:t xml:space="preserve"> Terms of Reference, North East Link Project Inquiry and Advisory Committee (11 April 2019). </w:t>
      </w:r>
    </w:p>
  </w:footnote>
  <w:footnote w:id="4">
    <w:p w14:paraId="1D92E750" w14:textId="77777777" w:rsidR="008F7152" w:rsidRDefault="008F7152" w:rsidP="002E6CF1">
      <w:pPr>
        <w:pStyle w:val="FootnoteText"/>
      </w:pPr>
      <w:r>
        <w:rPr>
          <w:rStyle w:val="FootnoteReference"/>
        </w:rPr>
        <w:footnoteRef/>
      </w:r>
      <w:r>
        <w:t xml:space="preserve"> Terms of Reference, North East Link Project Inquiry and Advisory Committee (11 April 2019), Cl 22.</w:t>
      </w:r>
    </w:p>
  </w:footnote>
  <w:footnote w:id="5">
    <w:p w14:paraId="017BDD53" w14:textId="5FA91E4C" w:rsidR="008F7152" w:rsidRPr="00EF4CF1" w:rsidRDefault="008F7152">
      <w:pPr>
        <w:pStyle w:val="FootnoteText"/>
        <w:rPr>
          <w:lang w:val="en-US"/>
        </w:rPr>
      </w:pPr>
      <w:r>
        <w:rPr>
          <w:rStyle w:val="FootnoteReference"/>
        </w:rPr>
        <w:footnoteRef/>
      </w:r>
      <w:r>
        <w:t xml:space="preserve"> Michael Barlow, </w:t>
      </w:r>
      <w:r>
        <w:rPr>
          <w:i/>
          <w:iCs/>
        </w:rPr>
        <w:t xml:space="preserve">Strategic Planning Presentation </w:t>
      </w:r>
      <w:r>
        <w:t xml:space="preserve">(29 July 2019), Slides 16-21 (Tabled Document No. 97). </w:t>
      </w:r>
    </w:p>
  </w:footnote>
  <w:footnote w:id="6">
    <w:p w14:paraId="200F81FC" w14:textId="73BD2377" w:rsidR="008F7152" w:rsidRDefault="008F7152">
      <w:pPr>
        <w:pStyle w:val="FootnoteText"/>
      </w:pPr>
      <w:r>
        <w:rPr>
          <w:rStyle w:val="FootnoteReference"/>
        </w:rPr>
        <w:footnoteRef/>
      </w:r>
      <w:r>
        <w:t xml:space="preserve"> </w:t>
      </w:r>
      <w:r w:rsidRPr="009D3296">
        <w:rPr>
          <w:i/>
          <w:iCs/>
        </w:rPr>
        <w:t>Transport Integration Act 2010</w:t>
      </w:r>
      <w:r>
        <w:t>, s 6.</w:t>
      </w:r>
    </w:p>
  </w:footnote>
  <w:footnote w:id="7">
    <w:p w14:paraId="0DFA74B2" w14:textId="5FDD6191" w:rsidR="008F7152" w:rsidRDefault="008F7152">
      <w:pPr>
        <w:pStyle w:val="FootnoteText"/>
      </w:pPr>
      <w:r>
        <w:rPr>
          <w:rStyle w:val="FootnoteReference"/>
        </w:rPr>
        <w:footnoteRef/>
      </w:r>
      <w:r>
        <w:t xml:space="preserve"> Bekessy et al ‘The critical role of “everyday nature” for the future of cities’ (</w:t>
      </w:r>
      <w:r w:rsidRPr="00C836D1">
        <w:rPr>
          <w:i/>
        </w:rPr>
        <w:t>Bioscience</w:t>
      </w:r>
      <w:r>
        <w:t>, forthcoming).</w:t>
      </w:r>
    </w:p>
  </w:footnote>
  <w:footnote w:id="8">
    <w:p w14:paraId="236BDC37" w14:textId="0B6C5755" w:rsidR="008F7152" w:rsidRPr="00F2359E" w:rsidRDefault="008F7152">
      <w:pPr>
        <w:pStyle w:val="FootnoteText"/>
        <w:rPr>
          <w:lang w:val="en-US"/>
        </w:rPr>
      </w:pPr>
      <w:r>
        <w:rPr>
          <w:rStyle w:val="FootnoteReference"/>
        </w:rPr>
        <w:footnoteRef/>
      </w:r>
      <w:r>
        <w:t xml:space="preserve"> </w:t>
      </w:r>
      <w:r>
        <w:rPr>
          <w:lang w:val="en-US"/>
        </w:rPr>
        <w:t>Gerrard et al, ‘Biodiversity Sensitive Urban Design’ (</w:t>
      </w:r>
      <w:r>
        <w:rPr>
          <w:i/>
          <w:iCs/>
          <w:lang w:val="en-US"/>
        </w:rPr>
        <w:t xml:space="preserve">Conservation Letters, </w:t>
      </w:r>
      <w:r>
        <w:rPr>
          <w:lang w:val="en-US"/>
        </w:rPr>
        <w:t>March/April 2018) &lt;</w:t>
      </w:r>
      <w:hyperlink r:id="rId2" w:history="1">
        <w:r w:rsidRPr="004235F7">
          <w:rPr>
            <w:rStyle w:val="Hyperlink"/>
            <w:lang w:val="en-US"/>
          </w:rPr>
          <w:t>https://conbio.onlinelibrary.wiley.com/doi/epdf/10.1111/conl.12411</w:t>
        </w:r>
      </w:hyperlink>
      <w:r>
        <w:rPr>
          <w:lang w:val="en-US"/>
        </w:rPr>
        <w:t xml:space="preserve">&gt;. See </w:t>
      </w:r>
      <w:r w:rsidRPr="00E14165">
        <w:rPr>
          <w:b/>
          <w:lang w:val="en-US"/>
        </w:rPr>
        <w:t xml:space="preserve">Appendix 1. </w:t>
      </w:r>
    </w:p>
  </w:footnote>
  <w:footnote w:id="9">
    <w:p w14:paraId="4EAF72D5" w14:textId="5ADC7E7A" w:rsidR="008F7152" w:rsidRPr="009D3296" w:rsidRDefault="008F7152">
      <w:pPr>
        <w:pStyle w:val="FootnoteText"/>
        <w:rPr>
          <w:lang w:val="en-US"/>
        </w:rPr>
      </w:pPr>
      <w:r>
        <w:rPr>
          <w:rStyle w:val="FootnoteReference"/>
        </w:rPr>
        <w:footnoteRef/>
      </w:r>
      <w:r>
        <w:t xml:space="preserve"> Statement of Outcomes of the North East Link Project Expert Meeting (Ecology) (Tabled Document No. 128), </w:t>
      </w:r>
      <w:r w:rsidRPr="004F3395">
        <w:t xml:space="preserve">[1] dot point </w:t>
      </w:r>
      <w:r>
        <w:t>3 (</w:t>
      </w:r>
      <w:r w:rsidRPr="00F2359E">
        <w:rPr>
          <w:b/>
          <w:bCs/>
        </w:rPr>
        <w:t>‘Conclave Meeting of Ecology Experts’</w:t>
      </w:r>
      <w:r>
        <w:t>).</w:t>
      </w:r>
    </w:p>
  </w:footnote>
  <w:footnote w:id="10">
    <w:p w14:paraId="486DC25C" w14:textId="599A0200" w:rsidR="008F7152" w:rsidRDefault="008F7152">
      <w:pPr>
        <w:pStyle w:val="FootnoteText"/>
      </w:pPr>
      <w:r>
        <w:rPr>
          <w:rStyle w:val="FootnoteReference"/>
        </w:rPr>
        <w:footnoteRef/>
      </w:r>
      <w:r>
        <w:t xml:space="preserve"> Opening Submissions of Banyule, </w:t>
      </w:r>
      <w:proofErr w:type="spellStart"/>
      <w:r>
        <w:t>Boroondara</w:t>
      </w:r>
      <w:proofErr w:type="spellEnd"/>
      <w:r>
        <w:t xml:space="preserve"> and Whitehorse City Councils (25 July 2019) (Tabled Document No. 84) [5].</w:t>
      </w:r>
    </w:p>
  </w:footnote>
  <w:footnote w:id="11">
    <w:p w14:paraId="2F25D238" w14:textId="57D1E749" w:rsidR="008F7152" w:rsidRPr="009D3296" w:rsidRDefault="008F7152">
      <w:pPr>
        <w:pStyle w:val="FootnoteText"/>
        <w:rPr>
          <w:lang w:val="en-US"/>
        </w:rPr>
      </w:pPr>
      <w:r>
        <w:rPr>
          <w:rStyle w:val="FootnoteReference"/>
        </w:rPr>
        <w:footnoteRef/>
      </w:r>
      <w:r>
        <w:t xml:space="preserve"> </w:t>
      </w:r>
      <w:r w:rsidRPr="00C061C4">
        <w:t>Clause 71.02-3</w:t>
      </w:r>
      <w:r>
        <w:t>.</w:t>
      </w:r>
    </w:p>
  </w:footnote>
  <w:footnote w:id="12">
    <w:p w14:paraId="4C512566" w14:textId="38012B6F" w:rsidR="008F7152" w:rsidRDefault="008F7152">
      <w:pPr>
        <w:pStyle w:val="FootnoteText"/>
      </w:pPr>
      <w:r>
        <w:rPr>
          <w:rStyle w:val="FootnoteReference"/>
        </w:rPr>
        <w:footnoteRef/>
      </w:r>
      <w:r>
        <w:t xml:space="preserve"> </w:t>
      </w:r>
      <w:r w:rsidRPr="009D3296">
        <w:rPr>
          <w:i/>
          <w:iCs/>
        </w:rPr>
        <w:t xml:space="preserve">Ministerial Guidelines for Assessment of Environmental Effects under the </w:t>
      </w:r>
      <w:r w:rsidRPr="00C061C4">
        <w:t>Environment Effects Act 1978</w:t>
      </w:r>
      <w:r>
        <w:t xml:space="preserve"> (Seventh edition, 2006) 3.  </w:t>
      </w:r>
    </w:p>
  </w:footnote>
  <w:footnote w:id="13">
    <w:p w14:paraId="352012ED" w14:textId="72F75AA9" w:rsidR="008F7152" w:rsidRPr="009D3296" w:rsidRDefault="008F7152">
      <w:pPr>
        <w:pStyle w:val="FootnoteText"/>
        <w:rPr>
          <w:b/>
          <w:bCs/>
          <w:lang w:val="en-US"/>
        </w:rPr>
      </w:pPr>
      <w:r>
        <w:rPr>
          <w:rStyle w:val="FootnoteReference"/>
        </w:rPr>
        <w:footnoteRef/>
      </w:r>
      <w:r>
        <w:t xml:space="preserve"> </w:t>
      </w:r>
      <w:r w:rsidRPr="00D45D78">
        <w:rPr>
          <w:lang w:val="en-US"/>
        </w:rPr>
        <w:t xml:space="preserve">World Commission on Environment and Development, </w:t>
      </w:r>
      <w:r w:rsidRPr="00614EBC">
        <w:rPr>
          <w:i/>
          <w:iCs/>
          <w:lang w:val="en-US"/>
        </w:rPr>
        <w:t>Our Common Future</w:t>
      </w:r>
      <w:r>
        <w:rPr>
          <w:i/>
          <w:iCs/>
          <w:lang w:val="en-US"/>
        </w:rPr>
        <w:t xml:space="preserve"> </w:t>
      </w:r>
      <w:r w:rsidRPr="00614EBC">
        <w:rPr>
          <w:lang w:val="en-US"/>
        </w:rPr>
        <w:t>(</w:t>
      </w:r>
      <w:r w:rsidRPr="00D45D78">
        <w:rPr>
          <w:lang w:val="en-US"/>
        </w:rPr>
        <w:t>1987</w:t>
      </w:r>
      <w:r>
        <w:rPr>
          <w:lang w:val="en-US"/>
        </w:rPr>
        <w:t>)</w:t>
      </w:r>
      <w:r w:rsidRPr="00D45D78">
        <w:rPr>
          <w:lang w:val="en-US"/>
        </w:rPr>
        <w:t xml:space="preserve"> 44</w:t>
      </w:r>
      <w:r>
        <w:rPr>
          <w:lang w:val="en-US"/>
        </w:rPr>
        <w:t>.</w:t>
      </w:r>
    </w:p>
  </w:footnote>
  <w:footnote w:id="14">
    <w:p w14:paraId="09ABA9C3" w14:textId="2E0760B3" w:rsidR="008F7152" w:rsidRPr="00E14165" w:rsidRDefault="008F7152">
      <w:pPr>
        <w:pStyle w:val="FootnoteText"/>
        <w:rPr>
          <w:b/>
        </w:rPr>
      </w:pPr>
      <w:r>
        <w:rPr>
          <w:rStyle w:val="FootnoteReference"/>
        </w:rPr>
        <w:footnoteRef/>
      </w:r>
      <w:r>
        <w:t xml:space="preserve"> </w:t>
      </w:r>
      <w:r w:rsidRPr="009D3296">
        <w:rPr>
          <w:i/>
          <w:iCs/>
        </w:rPr>
        <w:t>Telstra v Hornsby Shire Council</w:t>
      </w:r>
      <w:r>
        <w:t xml:space="preserve"> [2006] NSWLEC 133, [108]-[120]. </w:t>
      </w:r>
      <w:r w:rsidRPr="00A75ECC">
        <w:rPr>
          <w:bCs/>
        </w:rPr>
        <w:t xml:space="preserve">See </w:t>
      </w:r>
      <w:r w:rsidRPr="00E14165">
        <w:rPr>
          <w:b/>
          <w:bCs/>
        </w:rPr>
        <w:t>Appendix 2.</w:t>
      </w:r>
    </w:p>
  </w:footnote>
  <w:footnote w:id="15">
    <w:p w14:paraId="7FF6C833" w14:textId="70CFEF90" w:rsidR="008F7152" w:rsidRPr="009D3296" w:rsidRDefault="008F7152">
      <w:pPr>
        <w:pStyle w:val="FootnoteText"/>
        <w:rPr>
          <w:lang w:val="en-US"/>
        </w:rPr>
      </w:pPr>
      <w:r>
        <w:rPr>
          <w:rStyle w:val="FootnoteReference"/>
        </w:rPr>
        <w:footnoteRef/>
      </w:r>
      <w:r>
        <w:t xml:space="preserve"> </w:t>
      </w:r>
      <w:r w:rsidRPr="009D3296">
        <w:rPr>
          <w:i/>
          <w:iCs/>
        </w:rPr>
        <w:t>Telstra v Hornsby Shire Council</w:t>
      </w:r>
      <w:r w:rsidRPr="00150D9E">
        <w:t xml:space="preserve"> [2006] NSWLEC 133</w:t>
      </w:r>
      <w:r>
        <w:t xml:space="preserve"> [121].</w:t>
      </w:r>
    </w:p>
  </w:footnote>
  <w:footnote w:id="16">
    <w:p w14:paraId="7CD834B1" w14:textId="47703DBE" w:rsidR="008F7152" w:rsidRPr="009D3296" w:rsidRDefault="008F7152">
      <w:pPr>
        <w:pStyle w:val="FootnoteText"/>
        <w:rPr>
          <w:lang w:val="en-US"/>
        </w:rPr>
      </w:pPr>
      <w:r>
        <w:rPr>
          <w:rStyle w:val="FootnoteReference"/>
        </w:rPr>
        <w:footnoteRef/>
      </w:r>
      <w:r>
        <w:t xml:space="preserve"> </w:t>
      </w:r>
      <w:r>
        <w:rPr>
          <w:lang w:val="en-US"/>
        </w:rPr>
        <w:t>Gerrard et al, ‘Biodiversity Sensitive Urban Design’ (</w:t>
      </w:r>
      <w:r>
        <w:rPr>
          <w:i/>
          <w:iCs/>
          <w:lang w:val="en-US"/>
        </w:rPr>
        <w:t xml:space="preserve">Conservation Letters, </w:t>
      </w:r>
      <w:r>
        <w:rPr>
          <w:lang w:val="en-US"/>
        </w:rPr>
        <w:t>March/April 2018).</w:t>
      </w:r>
    </w:p>
  </w:footnote>
  <w:footnote w:id="17">
    <w:p w14:paraId="0525260E" w14:textId="377E42B9" w:rsidR="008F7152" w:rsidRPr="00675350" w:rsidRDefault="008F7152">
      <w:pPr>
        <w:pStyle w:val="FootnoteText"/>
        <w:rPr>
          <w:lang w:val="en-US"/>
        </w:rPr>
      </w:pPr>
      <w:r>
        <w:rPr>
          <w:rStyle w:val="FootnoteReference"/>
        </w:rPr>
        <w:footnoteRef/>
      </w:r>
      <w:r>
        <w:t xml:space="preserve"> </w:t>
      </w:r>
      <w:r>
        <w:rPr>
          <w:lang w:val="en-US"/>
        </w:rPr>
        <w:t xml:space="preserve">Expert Witness Report (Ecology) of Graeme Lorimer (15 July 2019) </w:t>
      </w:r>
      <w:r w:rsidRPr="00800049">
        <w:rPr>
          <w:lang w:val="en-US"/>
        </w:rPr>
        <w:t>(Tabled Document No. 28f)</w:t>
      </w:r>
      <w:r>
        <w:rPr>
          <w:lang w:val="en-US"/>
        </w:rPr>
        <w:t xml:space="preserve"> [86]; Expert Witness Report (Ecology) of Prof. Sarah Bekessy (15 July 2019) </w:t>
      </w:r>
      <w:r w:rsidRPr="00800049">
        <w:rPr>
          <w:lang w:val="en-US"/>
        </w:rPr>
        <w:t xml:space="preserve">(Tabled Document No. </w:t>
      </w:r>
      <w:r>
        <w:rPr>
          <w:lang w:val="en-US"/>
        </w:rPr>
        <w:t>32</w:t>
      </w:r>
      <w:r w:rsidRPr="00800049">
        <w:rPr>
          <w:lang w:val="en-US"/>
        </w:rPr>
        <w:t>)</w:t>
      </w:r>
      <w:r>
        <w:rPr>
          <w:lang w:val="en-US"/>
        </w:rPr>
        <w:t xml:space="preserve"> 6-7; Expert Witness Report (Net Community Benefit) of Terry </w:t>
      </w:r>
      <w:proofErr w:type="spellStart"/>
      <w:r>
        <w:rPr>
          <w:lang w:val="en-US"/>
        </w:rPr>
        <w:t>Rawnsley</w:t>
      </w:r>
      <w:proofErr w:type="spellEnd"/>
      <w:r>
        <w:rPr>
          <w:lang w:val="en-US"/>
        </w:rPr>
        <w:t xml:space="preserve"> (15 July 2019) </w:t>
      </w:r>
      <w:r w:rsidRPr="00800049">
        <w:rPr>
          <w:lang w:val="en-US"/>
        </w:rPr>
        <w:t>(Tabled Document No. 28</w:t>
      </w:r>
      <w:r>
        <w:rPr>
          <w:lang w:val="en-US"/>
        </w:rPr>
        <w:t>k</w:t>
      </w:r>
      <w:r w:rsidRPr="00800049">
        <w:rPr>
          <w:lang w:val="en-US"/>
        </w:rPr>
        <w:t>)</w:t>
      </w:r>
      <w:r>
        <w:rPr>
          <w:lang w:val="en-US"/>
        </w:rPr>
        <w:t xml:space="preserve"> [90].</w:t>
      </w:r>
    </w:p>
  </w:footnote>
  <w:footnote w:id="18">
    <w:p w14:paraId="515CAAD9" w14:textId="5594A87C" w:rsidR="008F7152" w:rsidRPr="000C57FE" w:rsidRDefault="008F7152">
      <w:pPr>
        <w:pStyle w:val="FootnoteText"/>
        <w:rPr>
          <w:iCs/>
          <w:lang w:val="en-US"/>
        </w:rPr>
      </w:pPr>
      <w:r>
        <w:rPr>
          <w:rStyle w:val="FootnoteReference"/>
        </w:rPr>
        <w:footnoteRef/>
      </w:r>
      <w:r>
        <w:t xml:space="preserve"> Victorian Government, </w:t>
      </w:r>
      <w:r w:rsidRPr="009D3296">
        <w:rPr>
          <w:i/>
        </w:rPr>
        <w:t>Plan Melbourne</w:t>
      </w:r>
      <w:r>
        <w:rPr>
          <w:i/>
        </w:rPr>
        <w:t xml:space="preserve"> 2017-2050 </w:t>
      </w:r>
      <w:r>
        <w:rPr>
          <w:iCs/>
        </w:rPr>
        <w:t>&lt;</w:t>
      </w:r>
      <w:hyperlink r:id="rId3" w:history="1">
        <w:r w:rsidRPr="004235F7">
          <w:rPr>
            <w:rStyle w:val="Hyperlink"/>
            <w:iCs/>
          </w:rPr>
          <w:t>https://www.planmelbourne.vic.gov.au/__data/assets/pdf_file/0007/377206/Plan_Melbourne_2017-2050_Strategy_.pdf</w:t>
        </w:r>
      </w:hyperlink>
      <w:r>
        <w:rPr>
          <w:iCs/>
        </w:rPr>
        <w:t xml:space="preserve">&gt;. </w:t>
      </w:r>
    </w:p>
  </w:footnote>
  <w:footnote w:id="19">
    <w:p w14:paraId="79C05FF4" w14:textId="53F76EBC" w:rsidR="008F7152" w:rsidRPr="00630902" w:rsidRDefault="008F7152">
      <w:pPr>
        <w:pStyle w:val="FootnoteText"/>
        <w:rPr>
          <w:lang w:val="en-US"/>
        </w:rPr>
      </w:pPr>
      <w:r>
        <w:rPr>
          <w:rStyle w:val="FootnoteReference"/>
        </w:rPr>
        <w:footnoteRef/>
      </w:r>
      <w:r>
        <w:t xml:space="preserve"> Victorian Government, </w:t>
      </w:r>
      <w:r w:rsidRPr="009D3296">
        <w:rPr>
          <w:i/>
        </w:rPr>
        <w:t xml:space="preserve">Protecting Victoria’s </w:t>
      </w:r>
      <w:r>
        <w:rPr>
          <w:i/>
        </w:rPr>
        <w:t xml:space="preserve">Environment – </w:t>
      </w:r>
      <w:r w:rsidRPr="009D3296">
        <w:rPr>
          <w:i/>
        </w:rPr>
        <w:t>Biodiversity</w:t>
      </w:r>
      <w:r>
        <w:rPr>
          <w:i/>
        </w:rPr>
        <w:t xml:space="preserve"> </w:t>
      </w:r>
      <w:r w:rsidRPr="009D3296">
        <w:rPr>
          <w:i/>
        </w:rPr>
        <w:t>2037</w:t>
      </w:r>
      <w:r>
        <w:rPr>
          <w:i/>
        </w:rPr>
        <w:t xml:space="preserve"> </w:t>
      </w:r>
      <w:r>
        <w:rPr>
          <w:iCs/>
        </w:rPr>
        <w:t>&lt;</w:t>
      </w:r>
      <w:hyperlink r:id="rId4" w:history="1">
        <w:r w:rsidRPr="004235F7">
          <w:rPr>
            <w:rStyle w:val="Hyperlink"/>
            <w:iCs/>
          </w:rPr>
          <w:t>https://www.environment.vic.gov.au/__data/assets/pdf_file/0022/51259/Protecting-Victorias-Environment-Biodiversity-2037.pdf</w:t>
        </w:r>
      </w:hyperlink>
      <w:r>
        <w:rPr>
          <w:iCs/>
        </w:rPr>
        <w:t>&gt;.</w:t>
      </w:r>
    </w:p>
  </w:footnote>
  <w:footnote w:id="20">
    <w:p w14:paraId="25119A0F" w14:textId="7542E0FE" w:rsidR="008F7152" w:rsidRDefault="008F7152">
      <w:pPr>
        <w:pStyle w:val="FootnoteText"/>
      </w:pPr>
      <w:r>
        <w:rPr>
          <w:rStyle w:val="FootnoteReference"/>
        </w:rPr>
        <w:footnoteRef/>
      </w:r>
      <w:r>
        <w:t xml:space="preserve"> Victorian Government, </w:t>
      </w:r>
      <w:r w:rsidRPr="009D3296">
        <w:rPr>
          <w:i/>
        </w:rPr>
        <w:t>Victorian Infrastructure Plan</w:t>
      </w:r>
      <w:r>
        <w:rPr>
          <w:i/>
        </w:rPr>
        <w:t xml:space="preserve"> </w:t>
      </w:r>
      <w:r>
        <w:rPr>
          <w:iCs/>
        </w:rPr>
        <w:t>&lt;</w:t>
      </w:r>
      <w:hyperlink r:id="rId5" w:history="1">
        <w:r w:rsidRPr="004235F7">
          <w:rPr>
            <w:rStyle w:val="Hyperlink"/>
            <w:iCs/>
          </w:rPr>
          <w:t>https://www.vic.gov.au/victorian-infrastructure-plan</w:t>
        </w:r>
      </w:hyperlink>
      <w:r>
        <w:rPr>
          <w:iCs/>
        </w:rPr>
        <w:t xml:space="preserve">&gt;. </w:t>
      </w:r>
    </w:p>
  </w:footnote>
  <w:footnote w:id="21">
    <w:p w14:paraId="3A58C59A" w14:textId="2D413D5E" w:rsidR="008F7152" w:rsidRPr="00E14165" w:rsidRDefault="008F7152">
      <w:pPr>
        <w:pStyle w:val="FootnoteText"/>
        <w:rPr>
          <w:b/>
        </w:rPr>
      </w:pPr>
      <w:r>
        <w:rPr>
          <w:rStyle w:val="FootnoteReference"/>
        </w:rPr>
        <w:footnoteRef/>
      </w:r>
      <w:r>
        <w:t xml:space="preserve"> </w:t>
      </w:r>
      <w:r w:rsidRPr="000C57FE">
        <w:rPr>
          <w:i/>
          <w:iCs/>
        </w:rPr>
        <w:t>Plan Melbourne 2017-2050,</w:t>
      </w:r>
      <w:r>
        <w:t xml:space="preserve"> Map 2, 16. </w:t>
      </w:r>
      <w:r w:rsidRPr="00A75ECC">
        <w:rPr>
          <w:bCs/>
        </w:rPr>
        <w:t xml:space="preserve">See </w:t>
      </w:r>
      <w:r w:rsidRPr="00E14165">
        <w:rPr>
          <w:b/>
          <w:bCs/>
        </w:rPr>
        <w:t>Appendix 3.</w:t>
      </w:r>
    </w:p>
  </w:footnote>
  <w:footnote w:id="22">
    <w:p w14:paraId="7B8EB310" w14:textId="4ACC729D" w:rsidR="008F7152" w:rsidRDefault="008F7152">
      <w:pPr>
        <w:pStyle w:val="FootnoteText"/>
      </w:pPr>
      <w:r>
        <w:rPr>
          <w:rStyle w:val="FootnoteReference"/>
        </w:rPr>
        <w:footnoteRef/>
      </w:r>
      <w:r>
        <w:t xml:space="preserve"> </w:t>
      </w:r>
      <w:r w:rsidRPr="000C57FE">
        <w:rPr>
          <w:i/>
          <w:iCs/>
        </w:rPr>
        <w:t>Plan Melbourne 2017-2050,</w:t>
      </w:r>
      <w:r>
        <w:t xml:space="preserve"> 13.</w:t>
      </w:r>
    </w:p>
  </w:footnote>
  <w:footnote w:id="23">
    <w:p w14:paraId="7908DC5E" w14:textId="77B09562" w:rsidR="008F7152" w:rsidRDefault="008F7152">
      <w:pPr>
        <w:pStyle w:val="FootnoteText"/>
      </w:pPr>
      <w:r>
        <w:rPr>
          <w:rStyle w:val="FootnoteReference"/>
        </w:rPr>
        <w:footnoteRef/>
      </w:r>
      <w:r>
        <w:t xml:space="preserve"> </w:t>
      </w:r>
      <w:r w:rsidRPr="000C57FE">
        <w:rPr>
          <w:i/>
          <w:iCs/>
        </w:rPr>
        <w:t>Plan Melbourne 2017-2050</w:t>
      </w:r>
      <w:r>
        <w:rPr>
          <w:i/>
          <w:iCs/>
        </w:rPr>
        <w:t>,</w:t>
      </w:r>
      <w:r>
        <w:t xml:space="preserve"> 75.</w:t>
      </w:r>
    </w:p>
  </w:footnote>
  <w:footnote w:id="24">
    <w:p w14:paraId="6149B87F" w14:textId="4398F83F" w:rsidR="008F7152" w:rsidRDefault="008F7152">
      <w:pPr>
        <w:pStyle w:val="FootnoteText"/>
      </w:pPr>
      <w:r>
        <w:rPr>
          <w:rStyle w:val="FootnoteReference"/>
        </w:rPr>
        <w:footnoteRef/>
      </w:r>
      <w:r>
        <w:t xml:space="preserve"> </w:t>
      </w:r>
      <w:r w:rsidRPr="000C57FE">
        <w:rPr>
          <w:i/>
          <w:iCs/>
        </w:rPr>
        <w:t>Plan Melbourne 2017-2050</w:t>
      </w:r>
      <w:r>
        <w:t>, 13.</w:t>
      </w:r>
    </w:p>
  </w:footnote>
  <w:footnote w:id="25">
    <w:p w14:paraId="094EDC21" w14:textId="37341902" w:rsidR="008F7152" w:rsidRDefault="008F7152">
      <w:pPr>
        <w:pStyle w:val="FootnoteText"/>
      </w:pPr>
      <w:r>
        <w:rPr>
          <w:rStyle w:val="FootnoteReference"/>
        </w:rPr>
        <w:footnoteRef/>
      </w:r>
      <w:r>
        <w:t xml:space="preserve"> Submission of </w:t>
      </w:r>
      <w:r w:rsidRPr="00F650CE">
        <w:t xml:space="preserve">Banyule, </w:t>
      </w:r>
      <w:proofErr w:type="spellStart"/>
      <w:r w:rsidRPr="00F650CE">
        <w:t>Boroondara</w:t>
      </w:r>
      <w:proofErr w:type="spellEnd"/>
      <w:r w:rsidRPr="00F650CE">
        <w:t xml:space="preserve"> and Whitehorse City Council</w:t>
      </w:r>
      <w:r>
        <w:t xml:space="preserve"> (Submission No. 716).</w:t>
      </w:r>
    </w:p>
  </w:footnote>
  <w:footnote w:id="26">
    <w:p w14:paraId="49C892AD" w14:textId="081DED0E" w:rsidR="008F7152" w:rsidRDefault="008F7152" w:rsidP="00F650CE">
      <w:pPr>
        <w:pStyle w:val="FootnoteText"/>
      </w:pPr>
      <w:r>
        <w:rPr>
          <w:rStyle w:val="FootnoteReference"/>
        </w:rPr>
        <w:footnoteRef/>
      </w:r>
      <w:r>
        <w:t xml:space="preserve"> Submission of </w:t>
      </w:r>
      <w:r w:rsidRPr="00F650CE">
        <w:t xml:space="preserve">Banyule, </w:t>
      </w:r>
      <w:proofErr w:type="spellStart"/>
      <w:r w:rsidRPr="00F650CE">
        <w:t>Boroondara</w:t>
      </w:r>
      <w:proofErr w:type="spellEnd"/>
      <w:r w:rsidRPr="00F650CE">
        <w:t xml:space="preserve"> and Whitehorse City Council</w:t>
      </w:r>
      <w:r>
        <w:t xml:space="preserve"> (Submission No. 716) [5.7]-[5.11].</w:t>
      </w:r>
    </w:p>
  </w:footnote>
  <w:footnote w:id="27">
    <w:p w14:paraId="4A763D54" w14:textId="408112D6" w:rsidR="008F7152" w:rsidRDefault="008F7152">
      <w:pPr>
        <w:pStyle w:val="FootnoteText"/>
      </w:pPr>
      <w:r>
        <w:rPr>
          <w:rStyle w:val="FootnoteReference"/>
        </w:rPr>
        <w:footnoteRef/>
      </w:r>
      <w:r>
        <w:t xml:space="preserve"> </w:t>
      </w:r>
      <w:r w:rsidRPr="00A75ECC">
        <w:t xml:space="preserve">See </w:t>
      </w:r>
      <w:r w:rsidRPr="00E14165">
        <w:rPr>
          <w:b/>
        </w:rPr>
        <w:t>Appendix 4.</w:t>
      </w:r>
      <w:r>
        <w:t xml:space="preserve"> </w:t>
      </w:r>
    </w:p>
  </w:footnote>
  <w:footnote w:id="28">
    <w:p w14:paraId="27C88D4A" w14:textId="23238D13" w:rsidR="008F7152" w:rsidRPr="00E14165" w:rsidRDefault="008F7152">
      <w:pPr>
        <w:pStyle w:val="FootnoteText"/>
        <w:rPr>
          <w:b/>
        </w:rPr>
      </w:pPr>
      <w:r>
        <w:rPr>
          <w:rStyle w:val="FootnoteReference"/>
        </w:rPr>
        <w:footnoteRef/>
      </w:r>
      <w:r>
        <w:t xml:space="preserve"> Melbourne Water, </w:t>
      </w:r>
      <w:r>
        <w:rPr>
          <w:i/>
          <w:iCs/>
        </w:rPr>
        <w:t>Healthy Waterways Strategy 2018-2028</w:t>
      </w:r>
      <w:r>
        <w:t xml:space="preserve"> &lt;</w:t>
      </w:r>
      <w:hyperlink r:id="rId6" w:history="1">
        <w:r w:rsidRPr="004235F7">
          <w:rPr>
            <w:rStyle w:val="Hyperlink"/>
          </w:rPr>
          <w:t>https://www.melbournewater.com.au/about-us/strategies-achievements-and-policies/healthy-waterways-strategy</w:t>
        </w:r>
      </w:hyperlink>
      <w:r>
        <w:t xml:space="preserve">&gt; 113. </w:t>
      </w:r>
      <w:r w:rsidRPr="00A75ECC">
        <w:t xml:space="preserve">See </w:t>
      </w:r>
      <w:r w:rsidRPr="00E14165">
        <w:rPr>
          <w:b/>
        </w:rPr>
        <w:t xml:space="preserve">Appendix 5. </w:t>
      </w:r>
    </w:p>
  </w:footnote>
  <w:footnote w:id="29">
    <w:p w14:paraId="22E90717" w14:textId="0BC1C8E7" w:rsidR="008F7152" w:rsidRDefault="008F7152">
      <w:pPr>
        <w:pStyle w:val="FootnoteText"/>
      </w:pPr>
      <w:r>
        <w:rPr>
          <w:rStyle w:val="FootnoteReference"/>
        </w:rPr>
        <w:footnoteRef/>
      </w:r>
      <w:r>
        <w:t xml:space="preserve"> </w:t>
      </w:r>
      <w:r w:rsidRPr="00A75ECC">
        <w:t xml:space="preserve">See </w:t>
      </w:r>
      <w:r w:rsidRPr="00E14165">
        <w:rPr>
          <w:b/>
        </w:rPr>
        <w:t>Appendix 6</w:t>
      </w:r>
      <w:r w:rsidRPr="00A75ECC">
        <w:t>.</w:t>
      </w:r>
      <w:r>
        <w:t xml:space="preserve"> </w:t>
      </w:r>
    </w:p>
  </w:footnote>
  <w:footnote w:id="30">
    <w:p w14:paraId="79FEEBB9" w14:textId="4D1056E2" w:rsidR="008F7152" w:rsidRDefault="008F7152">
      <w:pPr>
        <w:pStyle w:val="FootnoteText"/>
      </w:pPr>
      <w:r>
        <w:rPr>
          <w:rStyle w:val="FootnoteReference"/>
        </w:rPr>
        <w:footnoteRef/>
      </w:r>
      <w:r>
        <w:t xml:space="preserve"> </w:t>
      </w:r>
      <w:r w:rsidRPr="00B86CA4">
        <w:rPr>
          <w:i/>
        </w:rPr>
        <w:t>Yarra River Protection (</w:t>
      </w:r>
      <w:proofErr w:type="spellStart"/>
      <w:r w:rsidRPr="00B86CA4">
        <w:rPr>
          <w:i/>
        </w:rPr>
        <w:t>wilip</w:t>
      </w:r>
      <w:proofErr w:type="spellEnd"/>
      <w:r w:rsidRPr="00B86CA4">
        <w:rPr>
          <w:i/>
        </w:rPr>
        <w:t xml:space="preserve">-gin </w:t>
      </w:r>
      <w:proofErr w:type="spellStart"/>
      <w:r w:rsidRPr="00B86CA4">
        <w:rPr>
          <w:i/>
        </w:rPr>
        <w:t>Birrarung</w:t>
      </w:r>
      <w:proofErr w:type="spellEnd"/>
      <w:r w:rsidRPr="00B86CA4">
        <w:rPr>
          <w:i/>
        </w:rPr>
        <w:t xml:space="preserve"> </w:t>
      </w:r>
      <w:proofErr w:type="spellStart"/>
      <w:r w:rsidRPr="00B86CA4">
        <w:rPr>
          <w:i/>
        </w:rPr>
        <w:t>murron</w:t>
      </w:r>
      <w:proofErr w:type="spellEnd"/>
      <w:r w:rsidRPr="00B86CA4">
        <w:rPr>
          <w:i/>
        </w:rPr>
        <w:t>) Act 2017</w:t>
      </w:r>
      <w:r w:rsidRPr="00A07EE8">
        <w:rPr>
          <w:iCs/>
        </w:rPr>
        <w:t>;</w:t>
      </w:r>
      <w:r>
        <w:rPr>
          <w:i/>
        </w:rPr>
        <w:t xml:space="preserve"> </w:t>
      </w:r>
      <w:r w:rsidRPr="00A07EE8">
        <w:rPr>
          <w:iCs/>
        </w:rPr>
        <w:t>Amen</w:t>
      </w:r>
      <w:r>
        <w:rPr>
          <w:iCs/>
        </w:rPr>
        <w:t>dment GC48.</w:t>
      </w:r>
    </w:p>
  </w:footnote>
  <w:footnote w:id="31">
    <w:p w14:paraId="2F1CA1C5" w14:textId="78912C9D" w:rsidR="008F7152" w:rsidRPr="00E14165" w:rsidRDefault="008F7152">
      <w:pPr>
        <w:pStyle w:val="FootnoteText"/>
        <w:rPr>
          <w:b/>
        </w:rPr>
      </w:pPr>
      <w:r>
        <w:rPr>
          <w:rStyle w:val="FootnoteReference"/>
        </w:rPr>
        <w:footnoteRef/>
      </w:r>
      <w:r>
        <w:t xml:space="preserve"> Technical Report Q (Ecology) 74. See also </w:t>
      </w:r>
      <w:r w:rsidRPr="00A07EE8">
        <w:rPr>
          <w:bCs/>
        </w:rPr>
        <w:t xml:space="preserve">City of </w:t>
      </w:r>
      <w:proofErr w:type="spellStart"/>
      <w:r w:rsidRPr="00A07EE8">
        <w:rPr>
          <w:bCs/>
        </w:rPr>
        <w:t>Boroondara</w:t>
      </w:r>
      <w:proofErr w:type="spellEnd"/>
      <w:r>
        <w:rPr>
          <w:bCs/>
        </w:rPr>
        <w:t>,</w:t>
      </w:r>
      <w:r w:rsidRPr="00A07EE8">
        <w:rPr>
          <w:bCs/>
        </w:rPr>
        <w:t xml:space="preserve"> </w:t>
      </w:r>
      <w:r w:rsidRPr="00A07EE8">
        <w:rPr>
          <w:bCs/>
          <w:i/>
          <w:iCs/>
        </w:rPr>
        <w:t>Urban Biodiversity Strategy 2013-2023</w:t>
      </w:r>
      <w:r>
        <w:rPr>
          <w:bCs/>
        </w:rPr>
        <w:t xml:space="preserve"> &lt;</w:t>
      </w:r>
      <w:hyperlink r:id="rId7" w:history="1">
        <w:r w:rsidRPr="004235F7">
          <w:rPr>
            <w:rStyle w:val="Hyperlink"/>
            <w:bCs/>
          </w:rPr>
          <w:t>https://www.boroondara.vic.gov.au/sites/default/files/2017-05/Urban-Biodiversity-Strategy-2013-2023.pdf</w:t>
        </w:r>
      </w:hyperlink>
      <w:r>
        <w:rPr>
          <w:bCs/>
        </w:rPr>
        <w:t xml:space="preserve">&gt; </w:t>
      </w:r>
      <w:r w:rsidRPr="00A07EE8">
        <w:rPr>
          <w:bCs/>
        </w:rPr>
        <w:t xml:space="preserve"> 14-17.</w:t>
      </w:r>
      <w:r w:rsidRPr="00A07EE8">
        <w:rPr>
          <w:b/>
        </w:rPr>
        <w:t xml:space="preserve"> </w:t>
      </w:r>
      <w:r w:rsidRPr="00A75ECC">
        <w:rPr>
          <w:bCs/>
        </w:rPr>
        <w:t xml:space="preserve">See </w:t>
      </w:r>
      <w:r w:rsidRPr="00E14165">
        <w:rPr>
          <w:b/>
          <w:bCs/>
        </w:rPr>
        <w:t>Appendix 7.</w:t>
      </w:r>
    </w:p>
  </w:footnote>
  <w:footnote w:id="32">
    <w:p w14:paraId="7ABE9FAF" w14:textId="17537E32" w:rsidR="008F7152" w:rsidRDefault="008F7152">
      <w:pPr>
        <w:pStyle w:val="FootnoteText"/>
      </w:pPr>
      <w:r>
        <w:rPr>
          <w:rStyle w:val="FootnoteReference"/>
        </w:rPr>
        <w:footnoteRef/>
      </w:r>
      <w:r>
        <w:t xml:space="preserve"> </w:t>
      </w:r>
      <w:r w:rsidRPr="002546E8">
        <w:rPr>
          <w:bCs/>
        </w:rPr>
        <w:t>IAC</w:t>
      </w:r>
      <w:r>
        <w:rPr>
          <w:bCs/>
        </w:rPr>
        <w:t xml:space="preserve"> Hearing (Day 9, 6 August 2019) &lt;</w:t>
      </w:r>
      <w:hyperlink r:id="rId8" w:history="1">
        <w:r w:rsidRPr="004235F7">
          <w:rPr>
            <w:rStyle w:val="Hyperlink"/>
            <w:bCs/>
          </w:rPr>
          <w:t>https://www.youtube.com/watch?v=i-roG8BKObk&amp;feature=youtu.be</w:t>
        </w:r>
      </w:hyperlink>
      <w:r>
        <w:rPr>
          <w:bCs/>
        </w:rPr>
        <w:t xml:space="preserve">&gt;.  </w:t>
      </w:r>
    </w:p>
  </w:footnote>
  <w:footnote w:id="33">
    <w:p w14:paraId="7F9D6C00" w14:textId="045813EC" w:rsidR="008F7152" w:rsidRDefault="008F7152">
      <w:pPr>
        <w:pStyle w:val="FootnoteText"/>
      </w:pPr>
      <w:r>
        <w:rPr>
          <w:rStyle w:val="FootnoteReference"/>
        </w:rPr>
        <w:footnoteRef/>
      </w:r>
      <w:r>
        <w:t xml:space="preserve"> Victorian Government, </w:t>
      </w:r>
      <w:r w:rsidRPr="009D3296">
        <w:rPr>
          <w:i/>
        </w:rPr>
        <w:t xml:space="preserve">Protecting Victoria’s </w:t>
      </w:r>
      <w:r>
        <w:rPr>
          <w:i/>
        </w:rPr>
        <w:t xml:space="preserve">Environment – </w:t>
      </w:r>
      <w:r w:rsidRPr="009D3296">
        <w:rPr>
          <w:i/>
        </w:rPr>
        <w:t>Biodiversity</w:t>
      </w:r>
      <w:r>
        <w:rPr>
          <w:i/>
        </w:rPr>
        <w:t xml:space="preserve"> </w:t>
      </w:r>
      <w:r w:rsidRPr="009D3296">
        <w:rPr>
          <w:i/>
        </w:rPr>
        <w:t>2037</w:t>
      </w:r>
      <w:r>
        <w:rPr>
          <w:i/>
        </w:rPr>
        <w:t xml:space="preserve">, </w:t>
      </w:r>
      <w:r>
        <w:t xml:space="preserve">14. </w:t>
      </w:r>
      <w:r w:rsidRPr="00A75ECC">
        <w:rPr>
          <w:bCs/>
        </w:rPr>
        <w:t xml:space="preserve">See </w:t>
      </w:r>
      <w:r w:rsidRPr="00E14165">
        <w:rPr>
          <w:b/>
          <w:bCs/>
        </w:rPr>
        <w:t>Appendix 8.</w:t>
      </w:r>
    </w:p>
  </w:footnote>
  <w:footnote w:id="34">
    <w:p w14:paraId="49958F58" w14:textId="4B09A5C5" w:rsidR="008F7152" w:rsidRDefault="008F7152">
      <w:pPr>
        <w:pStyle w:val="FootnoteText"/>
      </w:pPr>
      <w:r>
        <w:rPr>
          <w:rStyle w:val="FootnoteReference"/>
        </w:rPr>
        <w:footnoteRef/>
      </w:r>
      <w:r>
        <w:t xml:space="preserve"> See </w:t>
      </w:r>
      <w:r w:rsidRPr="008118EB">
        <w:rPr>
          <w:b/>
        </w:rPr>
        <w:t>Appendix 9</w:t>
      </w:r>
      <w:r>
        <w:t xml:space="preserve">. </w:t>
      </w:r>
    </w:p>
  </w:footnote>
  <w:footnote w:id="35">
    <w:p w14:paraId="61847B12" w14:textId="1EB43045" w:rsidR="008F7152" w:rsidRDefault="008F7152">
      <w:pPr>
        <w:pStyle w:val="FootnoteText"/>
      </w:pPr>
      <w:r>
        <w:rPr>
          <w:rStyle w:val="FootnoteReference"/>
        </w:rPr>
        <w:footnoteRef/>
      </w:r>
      <w:r>
        <w:t xml:space="preserve"> Hon Lily </w:t>
      </w:r>
      <w:proofErr w:type="spellStart"/>
      <w:r>
        <w:t>D’Ambrosio</w:t>
      </w:r>
      <w:proofErr w:type="spellEnd"/>
      <w:r>
        <w:t xml:space="preserve"> (Minister for Energy, Environment and Climate Change), Second Reading Speech of the </w:t>
      </w:r>
      <w:r w:rsidRPr="001243F9">
        <w:rPr>
          <w:rFonts w:cstheme="minorHAnsi"/>
          <w:iCs/>
        </w:rPr>
        <w:t>Flora and Fauna Guarantee Amendment Bill 2018</w:t>
      </w:r>
      <w:r w:rsidRPr="001243F9">
        <w:rPr>
          <w:iCs/>
        </w:rPr>
        <w:t>,</w:t>
      </w:r>
      <w:r>
        <w:t xml:space="preserve"> Hansard (19 June 2019) 2273 (‘Second Reading Speech’). </w:t>
      </w:r>
      <w:r w:rsidRPr="00A75ECC">
        <w:t xml:space="preserve">See </w:t>
      </w:r>
      <w:r w:rsidRPr="008118EB">
        <w:rPr>
          <w:b/>
        </w:rPr>
        <w:t>Appendix 9</w:t>
      </w:r>
      <w:r w:rsidRPr="00A75ECC">
        <w:t>.</w:t>
      </w:r>
      <w:r>
        <w:t xml:space="preserve"> </w:t>
      </w:r>
    </w:p>
  </w:footnote>
  <w:footnote w:id="36">
    <w:p w14:paraId="22DB427D" w14:textId="3151B331" w:rsidR="008F7152" w:rsidRDefault="008F7152">
      <w:pPr>
        <w:pStyle w:val="FootnoteText"/>
      </w:pPr>
      <w:r>
        <w:rPr>
          <w:rStyle w:val="FootnoteReference"/>
        </w:rPr>
        <w:footnoteRef/>
      </w:r>
      <w:r>
        <w:t xml:space="preserve"> Second Reading Speech</w:t>
      </w:r>
      <w:r w:rsidRPr="001243F9">
        <w:rPr>
          <w:iCs/>
        </w:rPr>
        <w:t>,</w:t>
      </w:r>
      <w:r>
        <w:t xml:space="preserve"> Hansard (19 June 2019) 2274. </w:t>
      </w:r>
    </w:p>
  </w:footnote>
  <w:footnote w:id="37">
    <w:p w14:paraId="0360E333" w14:textId="396881E4" w:rsidR="008F7152" w:rsidRDefault="008F7152">
      <w:pPr>
        <w:pStyle w:val="FootnoteText"/>
      </w:pPr>
      <w:r>
        <w:rPr>
          <w:rStyle w:val="FootnoteReference"/>
        </w:rPr>
        <w:footnoteRef/>
      </w:r>
      <w:r>
        <w:t xml:space="preserve"> See Second Reading Speech</w:t>
      </w:r>
      <w:r w:rsidRPr="001243F9">
        <w:rPr>
          <w:iCs/>
        </w:rPr>
        <w:t>,</w:t>
      </w:r>
      <w:r>
        <w:t xml:space="preserve"> Hansard (19 June 2019) 2273-4.</w:t>
      </w:r>
    </w:p>
  </w:footnote>
  <w:footnote w:id="38">
    <w:p w14:paraId="420277DA" w14:textId="17140E7A" w:rsidR="008F7152" w:rsidRPr="008118EB" w:rsidRDefault="008F7152">
      <w:pPr>
        <w:pStyle w:val="FootnoteText"/>
        <w:rPr>
          <w:b/>
        </w:rPr>
      </w:pPr>
      <w:r w:rsidRPr="002529C8">
        <w:rPr>
          <w:rStyle w:val="FootnoteReference"/>
          <w:iCs/>
        </w:rPr>
        <w:footnoteRef/>
      </w:r>
      <w:r w:rsidRPr="002529C8">
        <w:rPr>
          <w:iCs/>
        </w:rPr>
        <w:t xml:space="preserve"> </w:t>
      </w:r>
      <w:r w:rsidRPr="009D3296">
        <w:rPr>
          <w:i/>
        </w:rPr>
        <w:t>Bare v I</w:t>
      </w:r>
      <w:r>
        <w:rPr>
          <w:i/>
        </w:rPr>
        <w:t xml:space="preserve">ndependent </w:t>
      </w:r>
      <w:r w:rsidRPr="009D3296">
        <w:rPr>
          <w:i/>
        </w:rPr>
        <w:t>B</w:t>
      </w:r>
      <w:r>
        <w:rPr>
          <w:i/>
        </w:rPr>
        <w:t xml:space="preserve">road-based </w:t>
      </w:r>
      <w:r w:rsidRPr="009D3296">
        <w:rPr>
          <w:i/>
        </w:rPr>
        <w:t>A</w:t>
      </w:r>
      <w:r>
        <w:rPr>
          <w:i/>
        </w:rPr>
        <w:t xml:space="preserve">nti-corruption </w:t>
      </w:r>
      <w:r w:rsidRPr="009D3296">
        <w:rPr>
          <w:i/>
        </w:rPr>
        <w:t>C</w:t>
      </w:r>
      <w:r>
        <w:rPr>
          <w:i/>
        </w:rPr>
        <w:t xml:space="preserve">ommission &amp; </w:t>
      </w:r>
      <w:proofErr w:type="spellStart"/>
      <w:r>
        <w:rPr>
          <w:i/>
        </w:rPr>
        <w:t>Ors</w:t>
      </w:r>
      <w:proofErr w:type="spellEnd"/>
      <w:r>
        <w:t xml:space="preserve"> [2015] VSCA 197, [235]. See </w:t>
      </w:r>
      <w:r w:rsidRPr="008118EB">
        <w:rPr>
          <w:b/>
        </w:rPr>
        <w:t xml:space="preserve">Appendix 9. </w:t>
      </w:r>
    </w:p>
  </w:footnote>
  <w:footnote w:id="39">
    <w:p w14:paraId="0644A6F3" w14:textId="403A5429" w:rsidR="008F7152" w:rsidRDefault="008F7152">
      <w:pPr>
        <w:pStyle w:val="FootnoteText"/>
      </w:pPr>
      <w:r>
        <w:rPr>
          <w:rStyle w:val="FootnoteReference"/>
        </w:rPr>
        <w:footnoteRef/>
      </w:r>
      <w:r>
        <w:t xml:space="preserve"> </w:t>
      </w:r>
      <w:r w:rsidRPr="00BD3043">
        <w:t xml:space="preserve">See </w:t>
      </w:r>
      <w:r w:rsidRPr="008118EB">
        <w:rPr>
          <w:b/>
        </w:rPr>
        <w:t>Appendix 10</w:t>
      </w:r>
      <w:r w:rsidRPr="00BD3043">
        <w:t>.</w:t>
      </w:r>
      <w:r>
        <w:t xml:space="preserve"> </w:t>
      </w:r>
    </w:p>
  </w:footnote>
  <w:footnote w:id="40">
    <w:p w14:paraId="7942AAD1" w14:textId="4241D5C8" w:rsidR="008F7152" w:rsidRDefault="008F7152">
      <w:pPr>
        <w:pStyle w:val="FootnoteText"/>
      </w:pPr>
      <w:r>
        <w:rPr>
          <w:rStyle w:val="FootnoteReference"/>
        </w:rPr>
        <w:footnoteRef/>
      </w:r>
      <w:r>
        <w:t xml:space="preserve"> Department of Environment, Land, Water and Planning, </w:t>
      </w:r>
      <w:r w:rsidRPr="002529C8">
        <w:rPr>
          <w:i/>
          <w:iCs/>
        </w:rPr>
        <w:t>Integrated Water Management Framework</w:t>
      </w:r>
      <w:r>
        <w:t xml:space="preserve"> </w:t>
      </w:r>
      <w:r>
        <w:rPr>
          <w:i/>
          <w:iCs/>
        </w:rPr>
        <w:t>for Victoria</w:t>
      </w:r>
      <w:r>
        <w:t xml:space="preserve"> (September 2017) &lt;</w:t>
      </w:r>
      <w:hyperlink r:id="rId9" w:history="1">
        <w:r w:rsidRPr="004235F7">
          <w:rPr>
            <w:rStyle w:val="Hyperlink"/>
          </w:rPr>
          <w:t>https://www.water.vic.gov.au/__data/assets/pdf_file/0022/81544/DELWP-IWM-Framework-FINAL-FOR-WEB.pdf</w:t>
        </w:r>
      </w:hyperlink>
      <w:r>
        <w:t xml:space="preserve">&gt; 8, </w:t>
      </w:r>
      <w:r w:rsidRPr="00BD3043">
        <w:t>Tabled</w:t>
      </w:r>
      <w:r>
        <w:t xml:space="preserve"> Document 260.</w:t>
      </w:r>
    </w:p>
  </w:footnote>
  <w:footnote w:id="41">
    <w:p w14:paraId="06250519" w14:textId="288635EA" w:rsidR="008F7152" w:rsidRDefault="008F7152">
      <w:pPr>
        <w:pStyle w:val="FootnoteText"/>
      </w:pPr>
      <w:r w:rsidRPr="002529C8">
        <w:rPr>
          <w:rStyle w:val="FootnoteReference"/>
        </w:rPr>
        <w:footnoteRef/>
      </w:r>
      <w:r w:rsidRPr="002529C8">
        <w:t xml:space="preserve"> </w:t>
      </w:r>
      <w:r w:rsidRPr="002546E8">
        <w:rPr>
          <w:bCs/>
        </w:rPr>
        <w:t>IAC</w:t>
      </w:r>
      <w:r>
        <w:rPr>
          <w:bCs/>
        </w:rPr>
        <w:t xml:space="preserve"> Hearing (Day 21, 26 August 2019) &lt;</w:t>
      </w:r>
      <w:hyperlink r:id="rId10" w:history="1">
        <w:r w:rsidRPr="004235F7">
          <w:rPr>
            <w:rStyle w:val="Hyperlink"/>
            <w:bCs/>
          </w:rPr>
          <w:t>https://www.youtube.com/watch?v=Zbmwv926JZE&amp;feature=youtu.be</w:t>
        </w:r>
      </w:hyperlink>
      <w:r>
        <w:rPr>
          <w:bCs/>
        </w:rPr>
        <w:t xml:space="preserve">&gt;. </w:t>
      </w:r>
    </w:p>
  </w:footnote>
  <w:footnote w:id="42">
    <w:p w14:paraId="6B1D8442" w14:textId="0201C388" w:rsidR="008F7152" w:rsidRPr="009D3296" w:rsidRDefault="008F7152">
      <w:pPr>
        <w:pStyle w:val="FootnoteText"/>
        <w:rPr>
          <w:lang w:val="en-US"/>
        </w:rPr>
      </w:pPr>
      <w:r>
        <w:rPr>
          <w:rStyle w:val="FootnoteReference"/>
        </w:rPr>
        <w:footnoteRef/>
      </w:r>
      <w:r>
        <w:t xml:space="preserve"> </w:t>
      </w:r>
      <w:r w:rsidRPr="0023471D">
        <w:rPr>
          <w:i/>
          <w:iCs/>
        </w:rPr>
        <w:t>Yarra River Protection (</w:t>
      </w:r>
      <w:proofErr w:type="spellStart"/>
      <w:r w:rsidRPr="0023471D">
        <w:rPr>
          <w:i/>
          <w:iCs/>
        </w:rPr>
        <w:t>wilip</w:t>
      </w:r>
      <w:proofErr w:type="spellEnd"/>
      <w:r w:rsidRPr="0023471D">
        <w:rPr>
          <w:i/>
          <w:iCs/>
        </w:rPr>
        <w:t xml:space="preserve">-gin </w:t>
      </w:r>
      <w:proofErr w:type="spellStart"/>
      <w:r w:rsidRPr="0023471D">
        <w:rPr>
          <w:i/>
          <w:iCs/>
        </w:rPr>
        <w:t>Birrarung</w:t>
      </w:r>
      <w:proofErr w:type="spellEnd"/>
      <w:r w:rsidRPr="0023471D">
        <w:rPr>
          <w:i/>
          <w:iCs/>
        </w:rPr>
        <w:t xml:space="preserve"> </w:t>
      </w:r>
      <w:proofErr w:type="spellStart"/>
      <w:r w:rsidRPr="0023471D">
        <w:rPr>
          <w:i/>
          <w:iCs/>
        </w:rPr>
        <w:t>murron</w:t>
      </w:r>
      <w:proofErr w:type="spellEnd"/>
      <w:r w:rsidRPr="0023471D">
        <w:rPr>
          <w:i/>
          <w:iCs/>
        </w:rPr>
        <w:t>) Act 2017</w:t>
      </w:r>
      <w:r w:rsidRPr="0023471D">
        <w:t xml:space="preserve">. </w:t>
      </w:r>
      <w:r w:rsidRPr="00ED7D6C">
        <w:rPr>
          <w:bCs/>
        </w:rPr>
        <w:t>See Appendix 11 for relevant declared land.</w:t>
      </w:r>
    </w:p>
  </w:footnote>
  <w:footnote w:id="43">
    <w:p w14:paraId="1DEA4A49" w14:textId="1D19C163" w:rsidR="008F7152" w:rsidRDefault="008F7152">
      <w:pPr>
        <w:pStyle w:val="FootnoteText"/>
      </w:pPr>
      <w:r>
        <w:rPr>
          <w:rStyle w:val="FootnoteReference"/>
        </w:rPr>
        <w:footnoteRef/>
      </w:r>
      <w:r>
        <w:t xml:space="preserve"> </w:t>
      </w:r>
      <w:r w:rsidRPr="00ED7D6C">
        <w:t xml:space="preserve">See </w:t>
      </w:r>
      <w:r w:rsidRPr="008118EB">
        <w:rPr>
          <w:b/>
        </w:rPr>
        <w:t>Appendix 12.</w:t>
      </w:r>
      <w:r w:rsidRPr="00ED7D6C">
        <w:t xml:space="preserve"> </w:t>
      </w:r>
    </w:p>
  </w:footnote>
  <w:footnote w:id="44">
    <w:p w14:paraId="043BAE6F" w14:textId="2DD13493" w:rsidR="008F7152" w:rsidRDefault="008F7152">
      <w:pPr>
        <w:pStyle w:val="FootnoteText"/>
      </w:pPr>
      <w:r>
        <w:rPr>
          <w:rStyle w:val="FootnoteReference"/>
        </w:rPr>
        <w:footnoteRef/>
      </w:r>
      <w:r>
        <w:t xml:space="preserve"> </w:t>
      </w:r>
      <w:r w:rsidRPr="0023471D">
        <w:rPr>
          <w:i/>
          <w:iCs/>
        </w:rPr>
        <w:t>Yarra River Protection (</w:t>
      </w:r>
      <w:proofErr w:type="spellStart"/>
      <w:r w:rsidRPr="0023471D">
        <w:rPr>
          <w:i/>
          <w:iCs/>
        </w:rPr>
        <w:t>wilip</w:t>
      </w:r>
      <w:proofErr w:type="spellEnd"/>
      <w:r w:rsidRPr="0023471D">
        <w:rPr>
          <w:i/>
          <w:iCs/>
        </w:rPr>
        <w:t xml:space="preserve">-gin </w:t>
      </w:r>
      <w:proofErr w:type="spellStart"/>
      <w:r w:rsidRPr="0023471D">
        <w:rPr>
          <w:i/>
          <w:iCs/>
        </w:rPr>
        <w:t>Birrarung</w:t>
      </w:r>
      <w:proofErr w:type="spellEnd"/>
      <w:r w:rsidRPr="0023471D">
        <w:rPr>
          <w:i/>
          <w:iCs/>
        </w:rPr>
        <w:t xml:space="preserve"> </w:t>
      </w:r>
      <w:proofErr w:type="spellStart"/>
      <w:r w:rsidRPr="0023471D">
        <w:rPr>
          <w:i/>
          <w:iCs/>
        </w:rPr>
        <w:t>murron</w:t>
      </w:r>
      <w:proofErr w:type="spellEnd"/>
      <w:r w:rsidRPr="0023471D">
        <w:rPr>
          <w:i/>
          <w:iCs/>
        </w:rPr>
        <w:t>) Act 2017</w:t>
      </w:r>
      <w:r>
        <w:rPr>
          <w:i/>
          <w:iCs/>
        </w:rPr>
        <w:t xml:space="preserve">, </w:t>
      </w:r>
      <w:r>
        <w:rPr>
          <w:iCs/>
        </w:rPr>
        <w:t>s 1.</w:t>
      </w:r>
    </w:p>
  </w:footnote>
  <w:footnote w:id="45">
    <w:p w14:paraId="1E2A1322" w14:textId="3901A7EA" w:rsidR="008F7152" w:rsidRDefault="008F7152">
      <w:pPr>
        <w:pStyle w:val="FootnoteText"/>
      </w:pPr>
      <w:r>
        <w:rPr>
          <w:rStyle w:val="FootnoteReference"/>
        </w:rPr>
        <w:footnoteRef/>
      </w:r>
      <w:r>
        <w:t xml:space="preserve"> </w:t>
      </w:r>
      <w:r w:rsidRPr="00873106">
        <w:rPr>
          <w:i/>
        </w:rPr>
        <w:t>State Environment Protection Policy (Waters)</w:t>
      </w:r>
      <w:r>
        <w:t>, Schedule 1, cl 2(d)(ii), 2(e), Explanatory Note, 48 &lt;</w:t>
      </w:r>
      <w:hyperlink r:id="rId11" w:history="1">
        <w:r w:rsidRPr="004235F7">
          <w:rPr>
            <w:rStyle w:val="Hyperlink"/>
          </w:rPr>
          <w:t>http://www.gazette.vic.gov.au/gazette/Gazettes2018/GG2018S499.pdf</w:t>
        </w:r>
      </w:hyperlink>
      <w:r>
        <w:t xml:space="preserve">&gt;. </w:t>
      </w:r>
      <w:r w:rsidRPr="008118EB">
        <w:rPr>
          <w:b/>
        </w:rPr>
        <w:t>Appendix 13.</w:t>
      </w:r>
      <w:r>
        <w:t xml:space="preserve"> </w:t>
      </w:r>
    </w:p>
  </w:footnote>
  <w:footnote w:id="46">
    <w:p w14:paraId="57997F3B" w14:textId="49981676" w:rsidR="008F7152" w:rsidRDefault="008F7152">
      <w:pPr>
        <w:pStyle w:val="FootnoteText"/>
      </w:pPr>
      <w:r>
        <w:rPr>
          <w:rStyle w:val="FootnoteReference"/>
        </w:rPr>
        <w:footnoteRef/>
      </w:r>
      <w:r>
        <w:t xml:space="preserve"> SEPP (Waters), Schedule 3, Table 1, 62-63. </w:t>
      </w:r>
    </w:p>
  </w:footnote>
  <w:footnote w:id="47">
    <w:p w14:paraId="4C473499" w14:textId="3C9E10D3" w:rsidR="008F7152" w:rsidRDefault="008F7152">
      <w:pPr>
        <w:pStyle w:val="FootnoteText"/>
      </w:pPr>
      <w:r>
        <w:rPr>
          <w:rStyle w:val="FootnoteReference"/>
        </w:rPr>
        <w:footnoteRef/>
      </w:r>
      <w:r>
        <w:t xml:space="preserve"> SEPP (Waters), Explanatory Note, 48.</w:t>
      </w:r>
    </w:p>
  </w:footnote>
  <w:footnote w:id="48">
    <w:p w14:paraId="70BEE20E" w14:textId="16F847F8" w:rsidR="008F7152" w:rsidRDefault="008F7152">
      <w:pPr>
        <w:pStyle w:val="FootnoteText"/>
      </w:pPr>
      <w:r>
        <w:rPr>
          <w:rStyle w:val="FootnoteReference"/>
        </w:rPr>
        <w:footnoteRef/>
      </w:r>
      <w:r>
        <w:t xml:space="preserve"> </w:t>
      </w:r>
      <w:r w:rsidRPr="005D2D92">
        <w:rPr>
          <w:i/>
          <w:iCs/>
        </w:rPr>
        <w:t>Environment Effects Act 1978,</w:t>
      </w:r>
      <w:r>
        <w:t xml:space="preserve"> s 5.</w:t>
      </w:r>
    </w:p>
  </w:footnote>
  <w:footnote w:id="49">
    <w:p w14:paraId="58A60E61" w14:textId="6872DD56" w:rsidR="008F7152" w:rsidRDefault="008F7152">
      <w:pPr>
        <w:pStyle w:val="FootnoteText"/>
      </w:pPr>
      <w:r>
        <w:rPr>
          <w:rStyle w:val="FootnoteReference"/>
        </w:rPr>
        <w:footnoteRef/>
      </w:r>
      <w:r>
        <w:t xml:space="preserve"> SEPP (Waters), </w:t>
      </w:r>
      <w:proofErr w:type="spellStart"/>
      <w:r>
        <w:t>Sch</w:t>
      </w:r>
      <w:proofErr w:type="spellEnd"/>
      <w:r>
        <w:t xml:space="preserve"> 2, Table 1, 49</w:t>
      </w:r>
      <w:r w:rsidRPr="00ED7D6C">
        <w:t xml:space="preserve">. See </w:t>
      </w:r>
      <w:r w:rsidRPr="008118EB">
        <w:rPr>
          <w:b/>
        </w:rPr>
        <w:t>Appendix 14.</w:t>
      </w:r>
      <w:r>
        <w:t xml:space="preserve"> </w:t>
      </w:r>
    </w:p>
  </w:footnote>
  <w:footnote w:id="50">
    <w:p w14:paraId="31F2BAC4" w14:textId="368C4BFC" w:rsidR="008F7152" w:rsidRDefault="008F7152">
      <w:pPr>
        <w:pStyle w:val="FootnoteText"/>
      </w:pPr>
      <w:r>
        <w:rPr>
          <w:rStyle w:val="FootnoteReference"/>
        </w:rPr>
        <w:footnoteRef/>
      </w:r>
      <w:r>
        <w:t xml:space="preserve"> SEPP (Waters), cl 14.</w:t>
      </w:r>
    </w:p>
  </w:footnote>
  <w:footnote w:id="51">
    <w:p w14:paraId="6A51BB1B" w14:textId="1E6E46B0" w:rsidR="008F7152" w:rsidRDefault="008F7152">
      <w:pPr>
        <w:pStyle w:val="FootnoteText"/>
      </w:pPr>
      <w:r>
        <w:rPr>
          <w:rStyle w:val="FootnoteReference"/>
        </w:rPr>
        <w:footnoteRef/>
      </w:r>
      <w:r>
        <w:t xml:space="preserve"> Melbourne Water, </w:t>
      </w:r>
      <w:r>
        <w:rPr>
          <w:i/>
          <w:iCs/>
        </w:rPr>
        <w:t>Healthy Waterways Strategy 2018-2028</w:t>
      </w:r>
      <w:r>
        <w:t>, 111 and 114.</w:t>
      </w:r>
    </w:p>
  </w:footnote>
  <w:footnote w:id="52">
    <w:p w14:paraId="2CF479D1" w14:textId="3687CC7E" w:rsidR="008F7152" w:rsidRDefault="008F7152">
      <w:pPr>
        <w:pStyle w:val="FootnoteText"/>
      </w:pPr>
      <w:r>
        <w:rPr>
          <w:rStyle w:val="FootnoteReference"/>
        </w:rPr>
        <w:footnoteRef/>
      </w:r>
      <w:r>
        <w:t xml:space="preserve"> Melbourne Water, </w:t>
      </w:r>
      <w:r>
        <w:rPr>
          <w:i/>
          <w:iCs/>
        </w:rPr>
        <w:t>Healthy Waterways Strategy 2018-2028</w:t>
      </w:r>
      <w:r>
        <w:t>, 119.</w:t>
      </w:r>
    </w:p>
  </w:footnote>
  <w:footnote w:id="53">
    <w:p w14:paraId="63E0AA74" w14:textId="2949AF88" w:rsidR="008F7152" w:rsidRDefault="008F7152">
      <w:pPr>
        <w:pStyle w:val="FootnoteText"/>
      </w:pPr>
      <w:r>
        <w:rPr>
          <w:rStyle w:val="FootnoteReference"/>
        </w:rPr>
        <w:footnoteRef/>
      </w:r>
      <w:r>
        <w:t xml:space="preserve"> These considerations apply to a section 51 ‘take and use’ licence by way of section 53 of the </w:t>
      </w:r>
      <w:r w:rsidRPr="0017103C">
        <w:rPr>
          <w:i/>
          <w:iCs/>
        </w:rPr>
        <w:t>Water Act 1989</w:t>
      </w:r>
      <w:r>
        <w:t xml:space="preserve">. </w:t>
      </w:r>
    </w:p>
  </w:footnote>
  <w:footnote w:id="54">
    <w:p w14:paraId="3E24870C" w14:textId="64B9947D" w:rsidR="008F7152" w:rsidRPr="008118EB" w:rsidRDefault="008F7152">
      <w:pPr>
        <w:pStyle w:val="FootnoteText"/>
        <w:rPr>
          <w:b/>
        </w:rPr>
      </w:pPr>
      <w:r>
        <w:rPr>
          <w:rStyle w:val="FootnoteReference"/>
        </w:rPr>
        <w:footnoteRef/>
      </w:r>
      <w:r>
        <w:t xml:space="preserve"> </w:t>
      </w:r>
      <w:proofErr w:type="spellStart"/>
      <w:r w:rsidRPr="0017103C">
        <w:rPr>
          <w:bCs/>
          <w:i/>
          <w:iCs/>
        </w:rPr>
        <w:t>Alanvale</w:t>
      </w:r>
      <w:proofErr w:type="spellEnd"/>
      <w:r w:rsidRPr="0017103C">
        <w:rPr>
          <w:bCs/>
          <w:i/>
          <w:iCs/>
        </w:rPr>
        <w:t xml:space="preserve"> Pty Ltd &amp; Anor v Southern Rural Waters &amp; </w:t>
      </w:r>
      <w:proofErr w:type="spellStart"/>
      <w:r w:rsidRPr="0017103C">
        <w:rPr>
          <w:bCs/>
          <w:i/>
          <w:iCs/>
        </w:rPr>
        <w:t>Ors</w:t>
      </w:r>
      <w:proofErr w:type="spellEnd"/>
      <w:r w:rsidRPr="0017103C">
        <w:rPr>
          <w:bCs/>
          <w:i/>
          <w:iCs/>
        </w:rPr>
        <w:t xml:space="preserve"> (Red Dot)</w:t>
      </w:r>
      <w:r>
        <w:rPr>
          <w:bCs/>
        </w:rPr>
        <w:t xml:space="preserve"> [2010] VCAT 480. </w:t>
      </w:r>
      <w:r w:rsidRPr="00633548">
        <w:rPr>
          <w:bCs/>
        </w:rPr>
        <w:t xml:space="preserve">See </w:t>
      </w:r>
      <w:r w:rsidRPr="008118EB">
        <w:rPr>
          <w:b/>
          <w:bCs/>
        </w:rPr>
        <w:t xml:space="preserve">Appendix 15. </w:t>
      </w:r>
    </w:p>
  </w:footnote>
  <w:footnote w:id="55">
    <w:p w14:paraId="47D5D9C8" w14:textId="2AAE62B6" w:rsidR="008F7152" w:rsidRDefault="008F7152" w:rsidP="00C7776E">
      <w:pPr>
        <w:pStyle w:val="FootnoteText"/>
      </w:pPr>
      <w:r>
        <w:rPr>
          <w:rStyle w:val="FootnoteReference"/>
        </w:rPr>
        <w:footnoteRef/>
      </w:r>
      <w:r>
        <w:t xml:space="preserve"> This is the distinction between what elements of Class 1 or Class 2 or higher models should be used to inform an appropriate groundwater model for the NELP as it applies to and affects sensitive environmental receptors. See: </w:t>
      </w:r>
      <w:r>
        <w:rPr>
          <w:lang w:val="en-US"/>
        </w:rPr>
        <w:t>Expert Witness Report (</w:t>
      </w:r>
      <w:r>
        <w:t>Groundwater)</w:t>
      </w:r>
      <w:r>
        <w:rPr>
          <w:lang w:val="en-US"/>
        </w:rPr>
        <w:t xml:space="preserve"> of Chris </w:t>
      </w:r>
      <w:proofErr w:type="spellStart"/>
      <w:r>
        <w:rPr>
          <w:lang w:val="en-US"/>
        </w:rPr>
        <w:t>Smitt</w:t>
      </w:r>
      <w:proofErr w:type="spellEnd"/>
      <w:r>
        <w:rPr>
          <w:lang w:val="en-US"/>
        </w:rPr>
        <w:t xml:space="preserve"> (15 July 2019) </w:t>
      </w:r>
      <w:r w:rsidRPr="00800049">
        <w:rPr>
          <w:lang w:val="en-US"/>
        </w:rPr>
        <w:t xml:space="preserve">(Tabled Document No. </w:t>
      </w:r>
      <w:r>
        <w:rPr>
          <w:lang w:val="en-US"/>
        </w:rPr>
        <w:t>30a</w:t>
      </w:r>
      <w:r w:rsidRPr="00800049">
        <w:rPr>
          <w:lang w:val="en-US"/>
        </w:rPr>
        <w:t>)</w:t>
      </w:r>
      <w:r>
        <w:t xml:space="preserve"> 16-18.</w:t>
      </w:r>
    </w:p>
  </w:footnote>
  <w:footnote w:id="56">
    <w:p w14:paraId="7210A22C" w14:textId="0CDAB95E" w:rsidR="008F7152" w:rsidRDefault="008F7152" w:rsidP="00C7776E">
      <w:pPr>
        <w:pStyle w:val="FootnoteText"/>
      </w:pPr>
      <w:r>
        <w:rPr>
          <w:rStyle w:val="FootnoteReference"/>
        </w:rPr>
        <w:footnoteRef/>
      </w:r>
      <w:r>
        <w:t xml:space="preserve"> </w:t>
      </w:r>
      <w:r>
        <w:rPr>
          <w:lang w:val="en-US"/>
        </w:rPr>
        <w:t xml:space="preserve">Expert Witness Report (Ecology) of Graeme Lorimer (15 July 2019) </w:t>
      </w:r>
      <w:r w:rsidRPr="00800049">
        <w:rPr>
          <w:lang w:val="en-US"/>
        </w:rPr>
        <w:t>(Tabled Document No. 28f)</w:t>
      </w:r>
      <w:r>
        <w:rPr>
          <w:lang w:val="en-US"/>
        </w:rPr>
        <w:t xml:space="preserve"> </w:t>
      </w:r>
      <w:r>
        <w:t>[8]-[10]; Expert Witness Presentation (Ecology) of Graeme Lorimer (27 August 2019) (Tabled Document N. 256b) 14-16.</w:t>
      </w:r>
    </w:p>
  </w:footnote>
  <w:footnote w:id="57">
    <w:p w14:paraId="032A6DFF" w14:textId="55257DA9" w:rsidR="008F7152" w:rsidRDefault="008F7152" w:rsidP="00C7776E">
      <w:pPr>
        <w:pStyle w:val="FootnoteText"/>
      </w:pPr>
      <w:r>
        <w:rPr>
          <w:rStyle w:val="FootnoteReference"/>
        </w:rPr>
        <w:footnoteRef/>
      </w:r>
      <w:r>
        <w:t xml:space="preserve"> Evidence of Mr Hugh </w:t>
      </w:r>
      <w:proofErr w:type="spellStart"/>
      <w:r>
        <w:t>Middlemas</w:t>
      </w:r>
      <w:proofErr w:type="spellEnd"/>
      <w:r>
        <w:t xml:space="preserve">: </w:t>
      </w:r>
      <w:r w:rsidRPr="002546E8">
        <w:rPr>
          <w:bCs/>
        </w:rPr>
        <w:t>IAC</w:t>
      </w:r>
      <w:r>
        <w:rPr>
          <w:bCs/>
        </w:rPr>
        <w:t xml:space="preserve"> Hearing (Day 8, 5 August 2019) &lt;</w:t>
      </w:r>
      <w:hyperlink r:id="rId12" w:history="1">
        <w:r w:rsidRPr="000331FD">
          <w:rPr>
            <w:rStyle w:val="Hyperlink"/>
          </w:rPr>
          <w:t>https://www.youtube.com/watch?v=zmnWZlQM7_Q&amp;feature=youtu.be</w:t>
        </w:r>
      </w:hyperlink>
      <w:r>
        <w:rPr>
          <w:bCs/>
        </w:rPr>
        <w:t xml:space="preserve">&gt;. </w:t>
      </w:r>
    </w:p>
  </w:footnote>
  <w:footnote w:id="58">
    <w:p w14:paraId="0DCA746E" w14:textId="28332939" w:rsidR="008F7152" w:rsidRDefault="008F7152" w:rsidP="00C7776E">
      <w:pPr>
        <w:pStyle w:val="FootnoteText"/>
      </w:pPr>
      <w:r>
        <w:rPr>
          <w:rStyle w:val="FootnoteReference"/>
        </w:rPr>
        <w:footnoteRef/>
      </w:r>
      <w:r>
        <w:t xml:space="preserve"> Expert Witness Report (Groundwater) of Chris </w:t>
      </w:r>
      <w:proofErr w:type="spellStart"/>
      <w:r>
        <w:t>Smitt</w:t>
      </w:r>
      <w:proofErr w:type="spellEnd"/>
      <w:r>
        <w:t xml:space="preserve"> </w:t>
      </w:r>
      <w:r>
        <w:rPr>
          <w:lang w:val="en-US"/>
        </w:rPr>
        <w:t xml:space="preserve">(15 July 2019) </w:t>
      </w:r>
      <w:r w:rsidRPr="00800049">
        <w:rPr>
          <w:lang w:val="en-US"/>
        </w:rPr>
        <w:t xml:space="preserve">(Tabled Document No. </w:t>
      </w:r>
      <w:r>
        <w:rPr>
          <w:lang w:val="en-US"/>
        </w:rPr>
        <w:t>30a</w:t>
      </w:r>
      <w:r w:rsidRPr="00800049">
        <w:rPr>
          <w:lang w:val="en-US"/>
        </w:rPr>
        <w:t>)</w:t>
      </w:r>
      <w:r>
        <w:t xml:space="preserve">, 17-18; </w:t>
      </w:r>
      <w:r>
        <w:rPr>
          <w:lang w:val="en-US"/>
        </w:rPr>
        <w:t xml:space="preserve">Expert Witness Report (Ecology) of Graeme Lorimer (15 July 2019) </w:t>
      </w:r>
      <w:r w:rsidRPr="00800049">
        <w:rPr>
          <w:lang w:val="en-US"/>
        </w:rPr>
        <w:t>(Tabled Document No. 28f)</w:t>
      </w:r>
      <w:r>
        <w:rPr>
          <w:lang w:val="en-US"/>
        </w:rPr>
        <w:t xml:space="preserve"> </w:t>
      </w:r>
      <w:r>
        <w:t>[9]-[10]; Expert Witness Presentation (Ecology) of Graeme Lorimer (27 August 2019) (Tabled Document N. 256b), Slides 16-18.</w:t>
      </w:r>
    </w:p>
  </w:footnote>
  <w:footnote w:id="59">
    <w:p w14:paraId="2AE15A8F" w14:textId="02F75682" w:rsidR="008F7152" w:rsidRDefault="008F7152" w:rsidP="00C7776E">
      <w:pPr>
        <w:pStyle w:val="FootnoteText"/>
      </w:pPr>
      <w:r>
        <w:rPr>
          <w:rStyle w:val="FootnoteReference"/>
        </w:rPr>
        <w:footnoteRef/>
      </w:r>
      <w:r>
        <w:t xml:space="preserve"> </w:t>
      </w:r>
      <w:r>
        <w:rPr>
          <w:lang w:val="en-US"/>
        </w:rPr>
        <w:t xml:space="preserve">Expert Witness Report (Ecology) of Graeme Lorimer (15 July 2019) </w:t>
      </w:r>
      <w:r w:rsidRPr="00800049">
        <w:rPr>
          <w:lang w:val="en-US"/>
        </w:rPr>
        <w:t>(Tabled Document No. 28f)</w:t>
      </w:r>
      <w:r>
        <w:rPr>
          <w:lang w:val="en-US"/>
        </w:rPr>
        <w:t xml:space="preserve"> </w:t>
      </w:r>
      <w:r>
        <w:t>[10].</w:t>
      </w:r>
    </w:p>
  </w:footnote>
  <w:footnote w:id="60">
    <w:p w14:paraId="23C3C32B" w14:textId="12DB8C4E" w:rsidR="008F7152" w:rsidRDefault="008F7152">
      <w:pPr>
        <w:pStyle w:val="FootnoteText"/>
      </w:pPr>
      <w:r>
        <w:rPr>
          <w:rStyle w:val="FootnoteReference"/>
        </w:rPr>
        <w:footnoteRef/>
      </w:r>
      <w:r>
        <w:t xml:space="preserve"> Technical Report Q (Ecology) 161.</w:t>
      </w:r>
    </w:p>
  </w:footnote>
  <w:footnote w:id="61">
    <w:p w14:paraId="0A5BF4A4" w14:textId="00F55CFC" w:rsidR="008F7152" w:rsidRDefault="008F7152">
      <w:pPr>
        <w:pStyle w:val="FootnoteText"/>
      </w:pPr>
      <w:r>
        <w:rPr>
          <w:rStyle w:val="FootnoteReference"/>
        </w:rPr>
        <w:footnoteRef/>
      </w:r>
      <w:r>
        <w:t xml:space="preserve"> </w:t>
      </w:r>
      <w:r w:rsidRPr="00DE4282">
        <w:t>Conclave Meeting of Ecology Experts</w:t>
      </w:r>
      <w:r>
        <w:t xml:space="preserve"> (Tabled Document No. 128) [12] dot point 5 (CM not participating).</w:t>
      </w:r>
    </w:p>
  </w:footnote>
  <w:footnote w:id="62">
    <w:p w14:paraId="159F9E69" w14:textId="67075C83" w:rsidR="008F7152" w:rsidRDefault="008F7152">
      <w:pPr>
        <w:pStyle w:val="FootnoteText"/>
      </w:pPr>
      <w:r>
        <w:rPr>
          <w:rStyle w:val="FootnoteReference"/>
        </w:rPr>
        <w:footnoteRef/>
      </w:r>
      <w:r>
        <w:t xml:space="preserve"> See evidence of Mr Cameron Miller, under cross-examination of Dr Bruce Lindsay: </w:t>
      </w:r>
      <w:r w:rsidRPr="002546E8">
        <w:rPr>
          <w:bCs/>
        </w:rPr>
        <w:t>IAC</w:t>
      </w:r>
      <w:r>
        <w:rPr>
          <w:bCs/>
        </w:rPr>
        <w:t xml:space="preserve"> Hearing (Day 9, 6 August 2019) &lt;</w:t>
      </w:r>
      <w:hyperlink r:id="rId13" w:history="1">
        <w:r w:rsidRPr="004235F7">
          <w:rPr>
            <w:rStyle w:val="Hyperlink"/>
            <w:bCs/>
          </w:rPr>
          <w:t>https://www.youtube.com/watch?v=i-roG8BKObk&amp;feature=youtu.be</w:t>
        </w:r>
      </w:hyperlink>
      <w:r>
        <w:rPr>
          <w:bCs/>
        </w:rPr>
        <w:t xml:space="preserve">&gt;.  </w:t>
      </w:r>
    </w:p>
  </w:footnote>
  <w:footnote w:id="63">
    <w:p w14:paraId="0552851B" w14:textId="475AD416" w:rsidR="008F7152" w:rsidRDefault="008F7152">
      <w:pPr>
        <w:pStyle w:val="FootnoteText"/>
      </w:pPr>
      <w:r>
        <w:rPr>
          <w:rStyle w:val="FootnoteReference"/>
        </w:rPr>
        <w:footnoteRef/>
      </w:r>
      <w:r>
        <w:t xml:space="preserve"> </w:t>
      </w:r>
      <w:r w:rsidRPr="00DE4282">
        <w:t>Conclave Meeting of Ecology Experts</w:t>
      </w:r>
      <w:r>
        <w:t xml:space="preserve"> (Tabled Document No. 128), [11] dot points 1-3.</w:t>
      </w:r>
    </w:p>
  </w:footnote>
  <w:footnote w:id="64">
    <w:p w14:paraId="641D73AA" w14:textId="7B2E09AA" w:rsidR="008F7152" w:rsidRDefault="008F7152">
      <w:pPr>
        <w:pStyle w:val="FootnoteText"/>
      </w:pPr>
      <w:r>
        <w:rPr>
          <w:rStyle w:val="FootnoteReference"/>
        </w:rPr>
        <w:footnoteRef/>
      </w:r>
      <w:r>
        <w:t xml:space="preserve"> </w:t>
      </w:r>
      <w:r>
        <w:rPr>
          <w:lang w:val="en-US"/>
        </w:rPr>
        <w:t xml:space="preserve">Expert Witness Report </w:t>
      </w:r>
      <w:r>
        <w:t>(Surface Water)</w:t>
      </w:r>
      <w:r>
        <w:rPr>
          <w:lang w:val="en-US"/>
        </w:rPr>
        <w:t xml:space="preserve"> of Scott Dunn (15 July 2019) </w:t>
      </w:r>
      <w:r w:rsidRPr="00800049">
        <w:rPr>
          <w:lang w:val="en-US"/>
        </w:rPr>
        <w:t xml:space="preserve">(Tabled Document No. </w:t>
      </w:r>
      <w:r>
        <w:rPr>
          <w:lang w:val="en-US"/>
        </w:rPr>
        <w:t>30c</w:t>
      </w:r>
      <w:r w:rsidRPr="00800049">
        <w:rPr>
          <w:lang w:val="en-US"/>
        </w:rPr>
        <w:t>)</w:t>
      </w:r>
      <w:r>
        <w:t>, 39.</w:t>
      </w:r>
    </w:p>
  </w:footnote>
  <w:footnote w:id="65">
    <w:p w14:paraId="5D7F45C6" w14:textId="274919CA" w:rsidR="008F7152" w:rsidRDefault="008F7152">
      <w:pPr>
        <w:pStyle w:val="FootnoteText"/>
      </w:pPr>
      <w:r>
        <w:rPr>
          <w:rStyle w:val="FootnoteReference"/>
        </w:rPr>
        <w:footnoteRef/>
      </w:r>
      <w:r>
        <w:t xml:space="preserve"> </w:t>
      </w:r>
      <w:r w:rsidRPr="00DE4282">
        <w:t>Conclave Meeting of Ecology Experts</w:t>
      </w:r>
      <w:r>
        <w:t xml:space="preserve"> (Tabled Document No. 128) [1] dot point 5.</w:t>
      </w:r>
    </w:p>
  </w:footnote>
  <w:footnote w:id="66">
    <w:p w14:paraId="56AEABCE" w14:textId="30068199" w:rsidR="008F7152" w:rsidRDefault="008F7152">
      <w:pPr>
        <w:pStyle w:val="FootnoteText"/>
      </w:pPr>
      <w:r>
        <w:rPr>
          <w:rStyle w:val="FootnoteReference"/>
        </w:rPr>
        <w:footnoteRef/>
      </w:r>
      <w:r>
        <w:t xml:space="preserve"> See Technical Report Q (Ecology), 118-119, Table 27.</w:t>
      </w:r>
    </w:p>
  </w:footnote>
  <w:footnote w:id="67">
    <w:p w14:paraId="6417C526" w14:textId="0F954796" w:rsidR="008F7152" w:rsidRDefault="008F7152">
      <w:pPr>
        <w:pStyle w:val="FootnoteText"/>
      </w:pPr>
      <w:r>
        <w:rPr>
          <w:rStyle w:val="FootnoteReference"/>
        </w:rPr>
        <w:footnoteRef/>
      </w:r>
      <w:r>
        <w:t xml:space="preserve"> Technical Report Q (Ecology) 209-210, 217-218, 239-240; </w:t>
      </w:r>
      <w:r>
        <w:rPr>
          <w:lang w:val="en-US"/>
        </w:rPr>
        <w:t xml:space="preserve">Expert Witness Report (Ecology) of Graeme Lorimer (15 July 2019) </w:t>
      </w:r>
      <w:r w:rsidRPr="00800049">
        <w:rPr>
          <w:lang w:val="en-US"/>
        </w:rPr>
        <w:t>(Tabled Document No. 28f)</w:t>
      </w:r>
      <w:r>
        <w:t xml:space="preserve"> [46]-[55].</w:t>
      </w:r>
    </w:p>
  </w:footnote>
  <w:footnote w:id="68">
    <w:p w14:paraId="108C01FF" w14:textId="4300679B" w:rsidR="008F7152" w:rsidRDefault="008F7152">
      <w:pPr>
        <w:pStyle w:val="FootnoteText"/>
      </w:pPr>
      <w:r>
        <w:rPr>
          <w:rStyle w:val="FootnoteReference"/>
        </w:rPr>
        <w:footnoteRef/>
      </w:r>
      <w:r>
        <w:t xml:space="preserve"> Technical Report Q (Ecology) 246-247.</w:t>
      </w:r>
    </w:p>
  </w:footnote>
  <w:footnote w:id="69">
    <w:p w14:paraId="5EBCB86E" w14:textId="375DAD82" w:rsidR="008F7152" w:rsidRDefault="008F7152">
      <w:pPr>
        <w:pStyle w:val="FootnoteText"/>
      </w:pPr>
      <w:r>
        <w:rPr>
          <w:rStyle w:val="FootnoteReference"/>
        </w:rPr>
        <w:footnoteRef/>
      </w:r>
      <w:r>
        <w:t xml:space="preserve"> </w:t>
      </w:r>
      <w:r>
        <w:rPr>
          <w:lang w:val="en-US"/>
        </w:rPr>
        <w:t xml:space="preserve">Expert Witness Report (Ecology) of Graeme Lorimer (15 July 2019) </w:t>
      </w:r>
      <w:r w:rsidRPr="00800049">
        <w:rPr>
          <w:lang w:val="en-US"/>
        </w:rPr>
        <w:t>(Tabled Document No. 28f)</w:t>
      </w:r>
      <w:r>
        <w:t xml:space="preserve"> [49].</w:t>
      </w:r>
    </w:p>
  </w:footnote>
  <w:footnote w:id="70">
    <w:p w14:paraId="3DCEF02B" w14:textId="42E00BCC" w:rsidR="008F7152" w:rsidRDefault="008F7152">
      <w:pPr>
        <w:pStyle w:val="FootnoteText"/>
      </w:pPr>
      <w:r>
        <w:rPr>
          <w:rStyle w:val="FootnoteReference"/>
        </w:rPr>
        <w:footnoteRef/>
      </w:r>
      <w:r>
        <w:t xml:space="preserve"> </w:t>
      </w:r>
      <w:r>
        <w:rPr>
          <w:lang w:val="en-US"/>
        </w:rPr>
        <w:t xml:space="preserve">Expert Witness Report (Ecology) of Graeme Lorimer (15 July 2019) </w:t>
      </w:r>
      <w:r w:rsidRPr="00800049">
        <w:rPr>
          <w:lang w:val="en-US"/>
        </w:rPr>
        <w:t>(Tabled Document No. 28f)</w:t>
      </w:r>
      <w:r>
        <w:t xml:space="preserve"> [12].</w:t>
      </w:r>
    </w:p>
  </w:footnote>
  <w:footnote w:id="71">
    <w:p w14:paraId="433067C2" w14:textId="1B87DD7D" w:rsidR="008F7152" w:rsidRDefault="008F7152">
      <w:pPr>
        <w:pStyle w:val="FootnoteText"/>
      </w:pPr>
      <w:r>
        <w:rPr>
          <w:rStyle w:val="FootnoteReference"/>
        </w:rPr>
        <w:footnoteRef/>
      </w:r>
      <w:r>
        <w:t xml:space="preserve"> </w:t>
      </w:r>
      <w:r w:rsidRPr="00DE4282">
        <w:t>Conclave Meeting of Ecology Experts</w:t>
      </w:r>
      <w:r>
        <w:t xml:space="preserve"> (Tabled Document No. 128) [1] dot point 7.</w:t>
      </w:r>
    </w:p>
  </w:footnote>
  <w:footnote w:id="72">
    <w:p w14:paraId="15D65AA0" w14:textId="3C074367" w:rsidR="008F7152" w:rsidRDefault="008F7152">
      <w:pPr>
        <w:pStyle w:val="FootnoteText"/>
      </w:pPr>
      <w:r>
        <w:rPr>
          <w:rStyle w:val="FootnoteReference"/>
        </w:rPr>
        <w:footnoteRef/>
      </w:r>
      <w:r>
        <w:t xml:space="preserve"> </w:t>
      </w:r>
      <w:r w:rsidRPr="00DE4282">
        <w:t>Conclave Meeting of Ecology Experts</w:t>
      </w:r>
      <w:r>
        <w:t xml:space="preserve"> (Tabled Document No. 128) [14] dot point 4.</w:t>
      </w:r>
    </w:p>
  </w:footnote>
  <w:footnote w:id="73">
    <w:p w14:paraId="157906A1" w14:textId="176B71D9" w:rsidR="008F7152" w:rsidRDefault="008F7152">
      <w:pPr>
        <w:pStyle w:val="FootnoteText"/>
      </w:pPr>
      <w:r>
        <w:rPr>
          <w:rStyle w:val="FootnoteReference"/>
        </w:rPr>
        <w:footnoteRef/>
      </w:r>
      <w:r>
        <w:t xml:space="preserve"> Department of Environment, Land, Water and Planning, </w:t>
      </w:r>
      <w:r w:rsidRPr="00335FFA">
        <w:rPr>
          <w:i/>
          <w:iCs/>
        </w:rPr>
        <w:t>Assessor</w:t>
      </w:r>
      <w:r>
        <w:rPr>
          <w:i/>
          <w:iCs/>
        </w:rPr>
        <w:t>’</w:t>
      </w:r>
      <w:r w:rsidRPr="00335FFA">
        <w:rPr>
          <w:i/>
          <w:iCs/>
        </w:rPr>
        <w:t>s Handbook</w:t>
      </w:r>
      <w:r>
        <w:t xml:space="preserve">: </w:t>
      </w:r>
      <w:r>
        <w:rPr>
          <w:i/>
          <w:iCs/>
        </w:rPr>
        <w:t>Applications to remove, destroy or lop native vegetation</w:t>
      </w:r>
      <w:r>
        <w:t xml:space="preserve"> (October 2018) &lt;</w:t>
      </w:r>
      <w:hyperlink r:id="rId14" w:history="1">
        <w:r w:rsidRPr="000331FD">
          <w:rPr>
            <w:rStyle w:val="Hyperlink"/>
          </w:rPr>
          <w:t>https://www.environment.vic.gov.au/__data/assets/pdf_file/0022/91255/Assessors-handbook-Applications-to-remove,-lop-or-destroy-native-vegetation-V1.1-October-2018.pdf</w:t>
        </w:r>
      </w:hyperlink>
      <w:r>
        <w:t xml:space="preserve">&gt; 20. </w:t>
      </w:r>
      <w:r w:rsidRPr="009172C5">
        <w:rPr>
          <w:b/>
        </w:rPr>
        <w:t>See Appendix 16</w:t>
      </w:r>
      <w:r w:rsidRPr="006C3FF3">
        <w:t>.</w:t>
      </w:r>
      <w:r>
        <w:t xml:space="preserve"> </w:t>
      </w:r>
      <w:bookmarkStart w:id="30" w:name="_GoBack"/>
      <w:bookmarkEnd w:id="30"/>
    </w:p>
  </w:footnote>
  <w:footnote w:id="74">
    <w:p w14:paraId="0F9A57DC" w14:textId="5C2E28DE" w:rsidR="008F7152" w:rsidRDefault="008F7152">
      <w:pPr>
        <w:pStyle w:val="FootnoteText"/>
      </w:pPr>
      <w:r>
        <w:rPr>
          <w:rStyle w:val="FootnoteReference"/>
        </w:rPr>
        <w:footnoteRef/>
      </w:r>
      <w:r>
        <w:t xml:space="preserve"> Department of Environment, Land, Water and Planning, </w:t>
      </w:r>
      <w:r w:rsidRPr="00335FFA">
        <w:rPr>
          <w:i/>
          <w:iCs/>
        </w:rPr>
        <w:t>Assessor</w:t>
      </w:r>
      <w:r>
        <w:rPr>
          <w:i/>
          <w:iCs/>
        </w:rPr>
        <w:t>’</w:t>
      </w:r>
      <w:r w:rsidRPr="00335FFA">
        <w:rPr>
          <w:i/>
          <w:iCs/>
        </w:rPr>
        <w:t>s Handbook</w:t>
      </w:r>
      <w:r>
        <w:t xml:space="preserve">: </w:t>
      </w:r>
      <w:r>
        <w:rPr>
          <w:i/>
          <w:iCs/>
        </w:rPr>
        <w:t>Applications to remove, destroy or lop native vegetation</w:t>
      </w:r>
      <w:r>
        <w:t xml:space="preserve"> (October 2018), 43.</w:t>
      </w:r>
    </w:p>
  </w:footnote>
  <w:footnote w:id="75">
    <w:p w14:paraId="32706F8C" w14:textId="7F3FEB4B" w:rsidR="008F7152" w:rsidRDefault="008F7152" w:rsidP="00AF0EB4">
      <w:pPr>
        <w:pStyle w:val="FootnoteText"/>
      </w:pPr>
      <w:r>
        <w:rPr>
          <w:rStyle w:val="FootnoteReference"/>
        </w:rPr>
        <w:footnoteRef/>
      </w:r>
      <w:r>
        <w:t xml:space="preserve"> Expert Witness Presentation (Ecology) of Graeme Lorimer (27 August 2019) (Tabled Document N. 256b), Slides 24-26.</w:t>
      </w:r>
    </w:p>
  </w:footnote>
  <w:footnote w:id="76">
    <w:p w14:paraId="56A8D5BE" w14:textId="0FED3237" w:rsidR="008F7152" w:rsidRDefault="008F7152">
      <w:pPr>
        <w:pStyle w:val="FootnoteText"/>
      </w:pPr>
      <w:r w:rsidRPr="00795CD5">
        <w:rPr>
          <w:rStyle w:val="FootnoteReference"/>
        </w:rPr>
        <w:footnoteRef/>
      </w:r>
      <w:r w:rsidRPr="00795CD5">
        <w:t xml:space="preserve"> See evidence of Mr Cameron Miller: </w:t>
      </w:r>
      <w:r w:rsidRPr="00795CD5">
        <w:rPr>
          <w:bCs/>
        </w:rPr>
        <w:t>IAC Hearing (Day 9, 6 August 2019) &lt;</w:t>
      </w:r>
      <w:hyperlink r:id="rId15" w:history="1">
        <w:r w:rsidRPr="00795CD5">
          <w:rPr>
            <w:rStyle w:val="Hyperlink"/>
            <w:bCs/>
          </w:rPr>
          <w:t>https://www.youtube.com/watch?v=i-roG8BKObk&amp;feature=youtu.be</w:t>
        </w:r>
      </w:hyperlink>
      <w:r w:rsidRPr="00795CD5">
        <w:rPr>
          <w:bCs/>
        </w:rPr>
        <w:t>&gt;</w:t>
      </w:r>
      <w:r>
        <w:rPr>
          <w:bCs/>
        </w:rPr>
        <w:t>; E</w:t>
      </w:r>
      <w:r w:rsidRPr="00795CD5">
        <w:t xml:space="preserve">vidence of Mr Stephen </w:t>
      </w:r>
      <w:proofErr w:type="spellStart"/>
      <w:r w:rsidRPr="00795CD5">
        <w:t>Mueck</w:t>
      </w:r>
      <w:proofErr w:type="spellEnd"/>
      <w:r w:rsidRPr="00795CD5">
        <w:t>: IAC Hearing (Day 22, 27 August 2019) &lt;</w:t>
      </w:r>
      <w:hyperlink r:id="rId16" w:history="1">
        <w:r w:rsidRPr="00795CD5">
          <w:rPr>
            <w:rStyle w:val="Hyperlink"/>
          </w:rPr>
          <w:t>https://www.youtube.com/watch?v=TJXqUnDrvgM&amp;feature=youtu.be</w:t>
        </w:r>
      </w:hyperlink>
      <w:r w:rsidRPr="00795CD5">
        <w:t>&gt;.</w:t>
      </w:r>
      <w:r>
        <w:t xml:space="preserve"> </w:t>
      </w:r>
    </w:p>
  </w:footnote>
  <w:footnote w:id="77">
    <w:p w14:paraId="63DE70F0" w14:textId="3C3A3569" w:rsidR="008F7152" w:rsidRDefault="008F7152">
      <w:pPr>
        <w:pStyle w:val="FootnoteText"/>
      </w:pPr>
      <w:r>
        <w:rPr>
          <w:rStyle w:val="FootnoteReference"/>
        </w:rPr>
        <w:footnoteRef/>
      </w:r>
      <w:r>
        <w:t xml:space="preserve"> </w:t>
      </w:r>
      <w:r w:rsidRPr="00372036">
        <w:t>Technical R</w:t>
      </w:r>
      <w:r>
        <w:t>eport G (Arboriculture), 51-55.</w:t>
      </w:r>
    </w:p>
  </w:footnote>
  <w:footnote w:id="78">
    <w:p w14:paraId="5E60A290" w14:textId="0ECDFFD7" w:rsidR="008F7152" w:rsidRDefault="008F7152">
      <w:pPr>
        <w:pStyle w:val="FootnoteText"/>
      </w:pPr>
      <w:r>
        <w:rPr>
          <w:rStyle w:val="FootnoteReference"/>
        </w:rPr>
        <w:footnoteRef/>
      </w:r>
      <w:r>
        <w:t xml:space="preserve"> </w:t>
      </w:r>
      <w:r w:rsidRPr="00AD5418">
        <w:rPr>
          <w:bCs/>
        </w:rPr>
        <w:t xml:space="preserve">Expert Witness Report (Tree Canopy) of Meg </w:t>
      </w:r>
      <w:proofErr w:type="spellStart"/>
      <w:r w:rsidRPr="00AD5418">
        <w:rPr>
          <w:bCs/>
        </w:rPr>
        <w:t>Caffin</w:t>
      </w:r>
      <w:proofErr w:type="spellEnd"/>
      <w:r w:rsidRPr="00AD5418">
        <w:rPr>
          <w:bCs/>
        </w:rPr>
        <w:t xml:space="preserve"> (15 July 2019) (Tabled Document No. 24u)</w:t>
      </w:r>
      <w:r>
        <w:rPr>
          <w:bCs/>
        </w:rPr>
        <w:t xml:space="preserve"> 11</w:t>
      </w:r>
      <w:r w:rsidRPr="00AD5418">
        <w:rPr>
          <w:bCs/>
        </w:rPr>
        <w:t>.</w:t>
      </w:r>
    </w:p>
  </w:footnote>
  <w:footnote w:id="79">
    <w:p w14:paraId="53BCE04E" w14:textId="27D58A3B" w:rsidR="008F7152" w:rsidRDefault="008F7152">
      <w:pPr>
        <w:pStyle w:val="FootnoteText"/>
      </w:pPr>
      <w:r>
        <w:rPr>
          <w:rStyle w:val="FootnoteReference"/>
        </w:rPr>
        <w:footnoteRef/>
      </w:r>
      <w:r>
        <w:t xml:space="preserve"> </w:t>
      </w:r>
      <w:r w:rsidRPr="00AD5418">
        <w:rPr>
          <w:bCs/>
        </w:rPr>
        <w:t xml:space="preserve">Expert Witness Report (Tree Canopy) of Meg </w:t>
      </w:r>
      <w:proofErr w:type="spellStart"/>
      <w:r w:rsidRPr="00AD5418">
        <w:rPr>
          <w:bCs/>
        </w:rPr>
        <w:t>Caffin</w:t>
      </w:r>
      <w:proofErr w:type="spellEnd"/>
      <w:r w:rsidRPr="00AD5418">
        <w:rPr>
          <w:bCs/>
        </w:rPr>
        <w:t xml:space="preserve"> (15 July 2019) (Tabled Document No. 24u)</w:t>
      </w:r>
      <w:r>
        <w:rPr>
          <w:bCs/>
        </w:rPr>
        <w:t xml:space="preserve"> 7</w:t>
      </w:r>
      <w:r w:rsidRPr="00AD5418">
        <w:rPr>
          <w:bCs/>
        </w:rPr>
        <w:t>.</w:t>
      </w:r>
    </w:p>
  </w:footnote>
  <w:footnote w:id="80">
    <w:p w14:paraId="2C8E27D2" w14:textId="2413CBFD" w:rsidR="008F7152" w:rsidRDefault="008F7152">
      <w:pPr>
        <w:pStyle w:val="FootnoteText"/>
      </w:pPr>
      <w:r>
        <w:rPr>
          <w:rStyle w:val="FootnoteReference"/>
        </w:rPr>
        <w:footnoteRef/>
      </w:r>
      <w:r>
        <w:t xml:space="preserve"> </w:t>
      </w:r>
      <w:r>
        <w:rPr>
          <w:lang w:val="en-US"/>
        </w:rPr>
        <w:t xml:space="preserve">Expert Witness Report (Ecology) of Prof. Sarah Bekessy (15 July 2019) </w:t>
      </w:r>
      <w:r w:rsidRPr="00800049">
        <w:rPr>
          <w:lang w:val="en-US"/>
        </w:rPr>
        <w:t xml:space="preserve">(Tabled Document No. </w:t>
      </w:r>
      <w:r>
        <w:rPr>
          <w:lang w:val="en-US"/>
        </w:rPr>
        <w:t>32</w:t>
      </w:r>
      <w:r w:rsidRPr="00800049">
        <w:rPr>
          <w:lang w:val="en-US"/>
        </w:rPr>
        <w:t>)</w:t>
      </w:r>
      <w:r>
        <w:rPr>
          <w:lang w:val="en-US"/>
        </w:rPr>
        <w:t xml:space="preserve"> 7.</w:t>
      </w:r>
    </w:p>
  </w:footnote>
  <w:footnote w:id="81">
    <w:p w14:paraId="1BBCD439" w14:textId="132A3B5A" w:rsidR="008F7152" w:rsidRDefault="008F7152">
      <w:pPr>
        <w:pStyle w:val="FootnoteText"/>
      </w:pPr>
      <w:r>
        <w:rPr>
          <w:rStyle w:val="FootnoteReference"/>
        </w:rPr>
        <w:footnoteRef/>
      </w:r>
      <w:r>
        <w:t xml:space="preserve"> Victorian Government, </w:t>
      </w:r>
      <w:r w:rsidRPr="009D3296">
        <w:rPr>
          <w:i/>
        </w:rPr>
        <w:t xml:space="preserve">Protecting Victoria’s </w:t>
      </w:r>
      <w:r>
        <w:rPr>
          <w:i/>
        </w:rPr>
        <w:t xml:space="preserve">Environment – </w:t>
      </w:r>
      <w:r w:rsidRPr="009D3296">
        <w:rPr>
          <w:i/>
        </w:rPr>
        <w:t>Biodiversity</w:t>
      </w:r>
      <w:r>
        <w:rPr>
          <w:i/>
        </w:rPr>
        <w:t xml:space="preserve"> </w:t>
      </w:r>
      <w:r w:rsidRPr="009D3296">
        <w:rPr>
          <w:i/>
        </w:rPr>
        <w:t>2037</w:t>
      </w:r>
      <w:r>
        <w:rPr>
          <w:i/>
        </w:rPr>
        <w:t xml:space="preserve"> </w:t>
      </w:r>
      <w:r>
        <w:rPr>
          <w:iCs/>
        </w:rPr>
        <w:t>&lt;</w:t>
      </w:r>
      <w:hyperlink r:id="rId17" w:history="1">
        <w:r w:rsidRPr="004235F7">
          <w:rPr>
            <w:rStyle w:val="Hyperlink"/>
            <w:iCs/>
          </w:rPr>
          <w:t>https://www.environment.vic.gov.au/__data/assets/pdf_file/0022/51259/Protecting-Victorias-Environment-Biodiversity-2037.pdf</w:t>
        </w:r>
      </w:hyperlink>
      <w:r>
        <w:rPr>
          <w:iCs/>
        </w:rPr>
        <w:t xml:space="preserve">&gt; </w:t>
      </w:r>
      <w:r>
        <w:t>32.</w:t>
      </w:r>
    </w:p>
  </w:footnote>
  <w:footnote w:id="82">
    <w:p w14:paraId="361061F9" w14:textId="10E78868" w:rsidR="008F7152" w:rsidRPr="008118EB" w:rsidRDefault="008F7152">
      <w:pPr>
        <w:pStyle w:val="FootnoteText"/>
        <w:rPr>
          <w:b/>
        </w:rPr>
      </w:pPr>
      <w:r>
        <w:rPr>
          <w:rStyle w:val="FootnoteReference"/>
        </w:rPr>
        <w:footnoteRef/>
      </w:r>
      <w:r>
        <w:t xml:space="preserve"> Resilient Melbourne and The Nature Conservancy, </w:t>
      </w:r>
      <w:r w:rsidRPr="00045DD8">
        <w:rPr>
          <w:i/>
          <w:iCs/>
        </w:rPr>
        <w:t>Living Melbourne: Our Metropolitan Urban Forest</w:t>
      </w:r>
      <w:r>
        <w:t xml:space="preserve"> (2019) &lt;</w:t>
      </w:r>
      <w:hyperlink r:id="rId18" w:history="1">
        <w:r w:rsidRPr="000331FD">
          <w:rPr>
            <w:rStyle w:val="Hyperlink"/>
          </w:rPr>
          <w:t>https://resilientmelbourne.com.au/living-melbourne/</w:t>
        </w:r>
      </w:hyperlink>
      <w:r>
        <w:t xml:space="preserve">&gt;. </w:t>
      </w:r>
      <w:r w:rsidRPr="006C3FF3">
        <w:t xml:space="preserve">See </w:t>
      </w:r>
      <w:r w:rsidRPr="008118EB">
        <w:rPr>
          <w:b/>
        </w:rPr>
        <w:t xml:space="preserve">Appendix 17. </w:t>
      </w:r>
    </w:p>
  </w:footnote>
  <w:footnote w:id="83">
    <w:p w14:paraId="1ABE37E9" w14:textId="342610D9" w:rsidR="008F7152" w:rsidRDefault="008F7152">
      <w:pPr>
        <w:pStyle w:val="FootnoteText"/>
      </w:pPr>
      <w:r>
        <w:rPr>
          <w:rStyle w:val="FootnoteReference"/>
        </w:rPr>
        <w:footnoteRef/>
      </w:r>
      <w:r>
        <w:t xml:space="preserve"> See &lt;</w:t>
      </w:r>
      <w:hyperlink r:id="rId19" w:anchor="endorsers" w:history="1">
        <w:r w:rsidRPr="000331FD">
          <w:rPr>
            <w:rStyle w:val="Hyperlink"/>
          </w:rPr>
          <w:t>https://resilientmelbourne.com.au/living-melbourne/#endorsers</w:t>
        </w:r>
      </w:hyperlink>
      <w:r>
        <w:t>&gt;.</w:t>
      </w:r>
    </w:p>
  </w:footnote>
  <w:footnote w:id="84">
    <w:p w14:paraId="47859E29" w14:textId="70008B73" w:rsidR="008F7152" w:rsidRDefault="008F7152">
      <w:pPr>
        <w:pStyle w:val="FootnoteText"/>
      </w:pPr>
      <w:r>
        <w:rPr>
          <w:rStyle w:val="FootnoteReference"/>
        </w:rPr>
        <w:footnoteRef/>
      </w:r>
      <w:r>
        <w:t xml:space="preserve"> Expert Witness Presentation (Tree Canopy) of Meg </w:t>
      </w:r>
      <w:proofErr w:type="spellStart"/>
      <w:r>
        <w:t>Caffin</w:t>
      </w:r>
      <w:proofErr w:type="spellEnd"/>
      <w:r>
        <w:t xml:space="preserve"> (6 August 2019) (Tabled Document N. 156), Slides 4-5.</w:t>
      </w:r>
    </w:p>
  </w:footnote>
  <w:footnote w:id="85">
    <w:p w14:paraId="7F29B01B" w14:textId="63529A7B" w:rsidR="008F7152" w:rsidRDefault="008F7152">
      <w:pPr>
        <w:pStyle w:val="FootnoteText"/>
      </w:pPr>
      <w:r>
        <w:rPr>
          <w:rStyle w:val="FootnoteReference"/>
        </w:rPr>
        <w:footnoteRef/>
      </w:r>
      <w:r>
        <w:t xml:space="preserve"> </w:t>
      </w:r>
      <w:r w:rsidRPr="00AD5418">
        <w:rPr>
          <w:bCs/>
        </w:rPr>
        <w:t xml:space="preserve">Expert Witness Report (Tree Canopy) of Meg </w:t>
      </w:r>
      <w:proofErr w:type="spellStart"/>
      <w:r w:rsidRPr="00AD5418">
        <w:rPr>
          <w:bCs/>
        </w:rPr>
        <w:t>Caffin</w:t>
      </w:r>
      <w:proofErr w:type="spellEnd"/>
      <w:r w:rsidRPr="00AD5418">
        <w:rPr>
          <w:bCs/>
        </w:rPr>
        <w:t xml:space="preserve"> (15 July 2019) (Tabled Document No. 24u)</w:t>
      </w:r>
      <w:r>
        <w:rPr>
          <w:bCs/>
        </w:rPr>
        <w:t xml:space="preserve"> </w:t>
      </w:r>
      <w:r>
        <w:t>5.</w:t>
      </w:r>
    </w:p>
  </w:footnote>
  <w:footnote w:id="86">
    <w:p w14:paraId="190932D8" w14:textId="3A9438C4" w:rsidR="008F7152" w:rsidRDefault="008F7152">
      <w:pPr>
        <w:pStyle w:val="FootnoteText"/>
      </w:pPr>
      <w:r>
        <w:rPr>
          <w:rStyle w:val="FootnoteReference"/>
        </w:rPr>
        <w:footnoteRef/>
      </w:r>
      <w:r>
        <w:t xml:space="preserve"> </w:t>
      </w:r>
      <w:r w:rsidRPr="00AD5418">
        <w:rPr>
          <w:bCs/>
        </w:rPr>
        <w:t xml:space="preserve">Expert Witness Report (Tree Canopy) of Meg </w:t>
      </w:r>
      <w:proofErr w:type="spellStart"/>
      <w:r w:rsidRPr="00AD5418">
        <w:rPr>
          <w:bCs/>
        </w:rPr>
        <w:t>Caffin</w:t>
      </w:r>
      <w:proofErr w:type="spellEnd"/>
      <w:r w:rsidRPr="00AD5418">
        <w:rPr>
          <w:bCs/>
        </w:rPr>
        <w:t xml:space="preserve"> (15 July 2019) (Tabled Document No. 24u)</w:t>
      </w:r>
      <w:r>
        <w:rPr>
          <w:bCs/>
        </w:rPr>
        <w:t xml:space="preserve"> </w:t>
      </w:r>
      <w:r>
        <w:t>17.</w:t>
      </w:r>
    </w:p>
  </w:footnote>
  <w:footnote w:id="87">
    <w:p w14:paraId="79DB4CBC" w14:textId="65F77F45" w:rsidR="008F7152" w:rsidRDefault="008F7152">
      <w:pPr>
        <w:pStyle w:val="FootnoteText"/>
      </w:pPr>
      <w:r>
        <w:rPr>
          <w:rStyle w:val="FootnoteReference"/>
        </w:rPr>
        <w:footnoteRef/>
      </w:r>
      <w:r>
        <w:t xml:space="preserve"> Expert Witness Presentation (Ecology) of Graeme Lorimer (27 August 2019) (Tabled Document N. 256b), Slides 29-30.</w:t>
      </w:r>
    </w:p>
  </w:footnote>
  <w:footnote w:id="88">
    <w:p w14:paraId="77C9F0F0" w14:textId="30AAFB60" w:rsidR="008F7152" w:rsidRPr="008118EB" w:rsidRDefault="008F7152">
      <w:pPr>
        <w:pStyle w:val="FootnoteText"/>
        <w:rPr>
          <w:b/>
        </w:rPr>
      </w:pPr>
      <w:r>
        <w:rPr>
          <w:rStyle w:val="FootnoteReference"/>
        </w:rPr>
        <w:footnoteRef/>
      </w:r>
      <w:r>
        <w:t xml:space="preserve"> Department of Environment, Land, Water and Planning, </w:t>
      </w:r>
      <w:r w:rsidRPr="004C6B9C">
        <w:rPr>
          <w:i/>
        </w:rPr>
        <w:t xml:space="preserve">Habitat Hectare Assessment: Fact Sheet </w:t>
      </w:r>
      <w:r>
        <w:t>(2016) &lt;</w:t>
      </w:r>
      <w:hyperlink r:id="rId20" w:history="1">
        <w:r w:rsidRPr="000331FD">
          <w:rPr>
            <w:rStyle w:val="Hyperlink"/>
          </w:rPr>
          <w:t>https://www.environment.vic.gov.au/__data/assets/pdf_file/0023/48542/Habitat-Hectare-Assessment-fact-sheet_Feb-2016.pdf</w:t>
        </w:r>
      </w:hyperlink>
      <w:r>
        <w:t xml:space="preserve">&gt;. </w:t>
      </w:r>
      <w:r w:rsidRPr="006C3FF3">
        <w:t xml:space="preserve">See </w:t>
      </w:r>
      <w:r w:rsidRPr="008118EB">
        <w:rPr>
          <w:b/>
        </w:rPr>
        <w:t xml:space="preserve">Appendix 18. </w:t>
      </w:r>
    </w:p>
  </w:footnote>
  <w:footnote w:id="89">
    <w:p w14:paraId="0618B366" w14:textId="2D4CA99D" w:rsidR="008F7152" w:rsidRDefault="008F7152">
      <w:pPr>
        <w:pStyle w:val="FootnoteText"/>
      </w:pPr>
      <w:r>
        <w:rPr>
          <w:rStyle w:val="FootnoteReference"/>
        </w:rPr>
        <w:footnoteRef/>
      </w:r>
      <w:r>
        <w:t xml:space="preserve"> This is because the designated assessment ‘pathway’ for native vegetation removal for the NELP is the ‘detailed’ pathway. </w:t>
      </w:r>
    </w:p>
  </w:footnote>
  <w:footnote w:id="90">
    <w:p w14:paraId="478C833E" w14:textId="519B6568" w:rsidR="008F7152" w:rsidRDefault="008F7152">
      <w:pPr>
        <w:pStyle w:val="FootnoteText"/>
      </w:pPr>
      <w:r>
        <w:rPr>
          <w:rStyle w:val="FootnoteReference"/>
        </w:rPr>
        <w:footnoteRef/>
      </w:r>
      <w:r>
        <w:t xml:space="preserve"> </w:t>
      </w:r>
      <w:r w:rsidRPr="00DE4282">
        <w:t>Conclave Meeting of Ecology Experts</w:t>
      </w:r>
      <w:r>
        <w:t xml:space="preserve"> (Tabled Document No. 128) [1] dot point 8.</w:t>
      </w:r>
    </w:p>
  </w:footnote>
  <w:footnote w:id="91">
    <w:p w14:paraId="159E91A4" w14:textId="598621DA" w:rsidR="008F7152" w:rsidRDefault="008F7152">
      <w:pPr>
        <w:pStyle w:val="FootnoteText"/>
      </w:pPr>
      <w:r>
        <w:rPr>
          <w:rStyle w:val="FootnoteReference"/>
        </w:rPr>
        <w:footnoteRef/>
      </w:r>
      <w:r>
        <w:t xml:space="preserve"> </w:t>
      </w:r>
      <w:r w:rsidRPr="00DE4282">
        <w:t>Conclave Meeting of Ecology Experts</w:t>
      </w:r>
      <w:r>
        <w:t xml:space="preserve"> (Tabled Document No. 128) </w:t>
      </w:r>
      <w:r w:rsidRPr="00230C91">
        <w:t>[4] dot point 1, [10] dot point 1</w:t>
      </w:r>
      <w:r>
        <w:t>.</w:t>
      </w:r>
    </w:p>
  </w:footnote>
  <w:footnote w:id="92">
    <w:p w14:paraId="0F9F1136" w14:textId="3C54EDC6" w:rsidR="008F7152" w:rsidRDefault="008F7152">
      <w:pPr>
        <w:pStyle w:val="FootnoteText"/>
      </w:pPr>
      <w:r>
        <w:rPr>
          <w:rStyle w:val="FootnoteReference"/>
        </w:rPr>
        <w:footnoteRef/>
      </w:r>
      <w:r>
        <w:t xml:space="preserve"> </w:t>
      </w:r>
      <w:r>
        <w:rPr>
          <w:lang w:val="en-US"/>
        </w:rPr>
        <w:t xml:space="preserve">Expert Witness Report (Ecology) of Graeme Lorimer (15 July 2019) </w:t>
      </w:r>
      <w:r w:rsidRPr="00800049">
        <w:rPr>
          <w:lang w:val="en-US"/>
        </w:rPr>
        <w:t>(Tabled Document No. 28f)</w:t>
      </w:r>
      <w:r>
        <w:t xml:space="preserve"> [145]-[161]; </w:t>
      </w:r>
      <w:r w:rsidRPr="00AD5418">
        <w:rPr>
          <w:bCs/>
        </w:rPr>
        <w:t xml:space="preserve">Expert Witness Report (Tree Canopy) of Meg </w:t>
      </w:r>
      <w:proofErr w:type="spellStart"/>
      <w:r w:rsidRPr="00AD5418">
        <w:rPr>
          <w:bCs/>
        </w:rPr>
        <w:t>Caffin</w:t>
      </w:r>
      <w:proofErr w:type="spellEnd"/>
      <w:r w:rsidRPr="00AD5418">
        <w:rPr>
          <w:bCs/>
        </w:rPr>
        <w:t xml:space="preserve"> (15 July 2019) (Tabled Document No. 24u)</w:t>
      </w:r>
      <w:r>
        <w:rPr>
          <w:bCs/>
        </w:rPr>
        <w:t xml:space="preserve"> </w:t>
      </w:r>
      <w:r>
        <w:t xml:space="preserve">6-10; </w:t>
      </w:r>
      <w:r>
        <w:rPr>
          <w:lang w:val="en-US"/>
        </w:rPr>
        <w:t xml:space="preserve">Expert Witness Report (Ecology) of Prof. Sarah Bekessy (15 July 2019) </w:t>
      </w:r>
      <w:r w:rsidRPr="00800049">
        <w:rPr>
          <w:lang w:val="en-US"/>
        </w:rPr>
        <w:t xml:space="preserve">(Tabled Document No. </w:t>
      </w:r>
      <w:r>
        <w:rPr>
          <w:lang w:val="en-US"/>
        </w:rPr>
        <w:t>32</w:t>
      </w:r>
      <w:r w:rsidRPr="00800049">
        <w:rPr>
          <w:lang w:val="en-US"/>
        </w:rPr>
        <w:t>)</w:t>
      </w:r>
      <w:r>
        <w:rPr>
          <w:lang w:val="en-US"/>
        </w:rPr>
        <w:t xml:space="preserve"> </w:t>
      </w:r>
      <w:r>
        <w:t>[4.1]-[4.2], [4.5].</w:t>
      </w:r>
    </w:p>
  </w:footnote>
  <w:footnote w:id="93">
    <w:p w14:paraId="12411D04" w14:textId="28C6A52B" w:rsidR="008F7152" w:rsidRDefault="008F7152">
      <w:pPr>
        <w:pStyle w:val="FootnoteText"/>
      </w:pPr>
      <w:r w:rsidRPr="00502CA9">
        <w:rPr>
          <w:rStyle w:val="FootnoteReference"/>
        </w:rPr>
        <w:footnoteRef/>
      </w:r>
      <w:r w:rsidRPr="00502CA9">
        <w:t xml:space="preserve"> </w:t>
      </w:r>
      <w:r>
        <w:t xml:space="preserve">Victorian Memorandum for Health and Nature (April 2017) (Tabled Document No. 155). </w:t>
      </w:r>
    </w:p>
  </w:footnote>
  <w:footnote w:id="94">
    <w:p w14:paraId="6B700AA2" w14:textId="21329E8C" w:rsidR="008F7152" w:rsidRDefault="008F7152">
      <w:pPr>
        <w:pStyle w:val="FootnoteText"/>
      </w:pPr>
      <w:r>
        <w:rPr>
          <w:rStyle w:val="FootnoteReference"/>
        </w:rPr>
        <w:footnoteRef/>
      </w:r>
      <w:r>
        <w:t xml:space="preserve"> </w:t>
      </w:r>
      <w:r w:rsidRPr="00DE4282">
        <w:t>Conclave Meeting of Ecology Experts</w:t>
      </w:r>
      <w:r>
        <w:t xml:space="preserve"> (Tabled Document No. 128), [1] dot point 3.</w:t>
      </w:r>
    </w:p>
  </w:footnote>
  <w:footnote w:id="95">
    <w:p w14:paraId="74410A8A" w14:textId="7B3E5589" w:rsidR="008F7152" w:rsidRPr="008118EB" w:rsidRDefault="008F7152">
      <w:pPr>
        <w:pStyle w:val="FootnoteText"/>
        <w:rPr>
          <w:b/>
        </w:rPr>
      </w:pPr>
      <w:r>
        <w:rPr>
          <w:rStyle w:val="FootnoteReference"/>
        </w:rPr>
        <w:footnoteRef/>
      </w:r>
      <w:r>
        <w:t xml:space="preserve"> </w:t>
      </w:r>
      <w:r>
        <w:rPr>
          <w:lang w:val="en-US"/>
        </w:rPr>
        <w:t>Gerrard et al, ‘Biodiversity Sensitive Urban Design’ (</w:t>
      </w:r>
      <w:r>
        <w:rPr>
          <w:i/>
          <w:iCs/>
          <w:lang w:val="en-US"/>
        </w:rPr>
        <w:t xml:space="preserve">Conservation Letters, </w:t>
      </w:r>
      <w:r>
        <w:rPr>
          <w:lang w:val="en-US"/>
        </w:rPr>
        <w:t>March/April 2018) &lt;</w:t>
      </w:r>
      <w:hyperlink r:id="rId21" w:history="1">
        <w:r w:rsidRPr="004235F7">
          <w:rPr>
            <w:rStyle w:val="Hyperlink"/>
            <w:lang w:val="en-US"/>
          </w:rPr>
          <w:t>https://conbio.onlinelibrary.wiley.com/doi/epdf/10.1111/conl.12411</w:t>
        </w:r>
      </w:hyperlink>
      <w:r>
        <w:rPr>
          <w:lang w:val="en-US"/>
        </w:rPr>
        <w:t xml:space="preserve">&gt;. </w:t>
      </w:r>
      <w:r w:rsidRPr="006C3FF3">
        <w:t xml:space="preserve">See </w:t>
      </w:r>
      <w:r w:rsidRPr="008118EB">
        <w:rPr>
          <w:b/>
        </w:rPr>
        <w:t>Appendix 1.</w:t>
      </w:r>
    </w:p>
  </w:footnote>
  <w:footnote w:id="96">
    <w:p w14:paraId="3C9F7A68" w14:textId="401D4A12" w:rsidR="008F7152" w:rsidRDefault="008F7152">
      <w:pPr>
        <w:pStyle w:val="FootnoteText"/>
      </w:pPr>
      <w:r>
        <w:rPr>
          <w:rStyle w:val="FootnoteReference"/>
        </w:rPr>
        <w:footnoteRef/>
      </w:r>
      <w:r>
        <w:t xml:space="preserve"> Department of Environment, Land, Water and Planning, </w:t>
      </w:r>
      <w:r w:rsidRPr="002529C8">
        <w:rPr>
          <w:i/>
          <w:iCs/>
        </w:rPr>
        <w:t>Integrated Water Management Framework</w:t>
      </w:r>
      <w:r>
        <w:t xml:space="preserve"> </w:t>
      </w:r>
      <w:r>
        <w:rPr>
          <w:i/>
          <w:iCs/>
        </w:rPr>
        <w:t>for Victoria</w:t>
      </w:r>
      <w:r>
        <w:t xml:space="preserve"> (September 2017) &lt;</w:t>
      </w:r>
      <w:hyperlink r:id="rId22" w:history="1">
        <w:r w:rsidRPr="004235F7">
          <w:rPr>
            <w:rStyle w:val="Hyperlink"/>
          </w:rPr>
          <w:t>https://www.water.vic.gov.au/__data/assets/pdf_file/0022/81544/DELWP-IWM-Framework-FINAL-FOR-WEB.pdf</w:t>
        </w:r>
      </w:hyperlink>
      <w:r>
        <w:t>&gt;.</w:t>
      </w:r>
    </w:p>
  </w:footnote>
  <w:footnote w:id="97">
    <w:p w14:paraId="7704881C" w14:textId="375638CA" w:rsidR="008F7152" w:rsidRPr="0090540C" w:rsidRDefault="008F7152">
      <w:pPr>
        <w:pStyle w:val="FootnoteText"/>
        <w:rPr>
          <w:lang w:val="en-US"/>
        </w:rPr>
      </w:pPr>
      <w:r>
        <w:rPr>
          <w:rStyle w:val="FootnoteReference"/>
        </w:rPr>
        <w:footnoteRef/>
      </w:r>
      <w:r>
        <w:t xml:space="preserve"> </w:t>
      </w:r>
      <w:r>
        <w:rPr>
          <w:lang w:val="en-US"/>
        </w:rPr>
        <w:t xml:space="preserve">State Government, </w:t>
      </w:r>
      <w:r>
        <w:rPr>
          <w:i/>
          <w:iCs/>
          <w:lang w:val="en-US"/>
        </w:rPr>
        <w:t xml:space="preserve">Water for Victoria: Water Plan </w:t>
      </w:r>
      <w:r>
        <w:rPr>
          <w:lang w:val="en-US"/>
        </w:rPr>
        <w:t>&lt;</w:t>
      </w:r>
      <w:hyperlink r:id="rId23" w:history="1">
        <w:r w:rsidRPr="000331FD">
          <w:rPr>
            <w:rStyle w:val="Hyperlink"/>
            <w:lang w:val="en-US"/>
          </w:rPr>
          <w:t>https://www.water.vic.gov.au/__data/assets/pdf_file/0030/58827/Water-Plan-strategy2.pdf</w:t>
        </w:r>
      </w:hyperlink>
      <w:r>
        <w:rPr>
          <w:lang w:val="en-US"/>
        </w:rPr>
        <w:t>&gt;.</w:t>
      </w:r>
    </w:p>
  </w:footnote>
  <w:footnote w:id="98">
    <w:p w14:paraId="446CF2CB" w14:textId="216A64D7" w:rsidR="008F7152" w:rsidRDefault="008F7152">
      <w:pPr>
        <w:pStyle w:val="FootnoteText"/>
      </w:pPr>
      <w:r>
        <w:rPr>
          <w:rStyle w:val="FootnoteReference"/>
        </w:rPr>
        <w:footnoteRef/>
      </w:r>
      <w:r>
        <w:t xml:space="preserve"> Expert Witness Presentation (Ecology) of Graeme Lorimer (27 August 2019) (Tabled Document N. 256b), Slides 32-33.</w:t>
      </w:r>
    </w:p>
  </w:footnote>
  <w:footnote w:id="99">
    <w:p w14:paraId="7B98EA3B" w14:textId="324055E2" w:rsidR="008F7152" w:rsidRDefault="008F7152">
      <w:pPr>
        <w:pStyle w:val="FootnoteText"/>
      </w:pPr>
      <w:r>
        <w:rPr>
          <w:rStyle w:val="FootnoteReference"/>
        </w:rPr>
        <w:footnoteRef/>
      </w:r>
      <w:r>
        <w:t xml:space="preserve"> Expert Witness Presentation (Ecology) of Graeme Lorimer (27 August 2019) (Tabled Document N. 256b), Slide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C3"/>
    <w:multiLevelType w:val="hybridMultilevel"/>
    <w:tmpl w:val="D8DE6A3C"/>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05C14"/>
    <w:multiLevelType w:val="hybridMultilevel"/>
    <w:tmpl w:val="56FA3C28"/>
    <w:lvl w:ilvl="0" w:tplc="E9D431EE">
      <w:start w:val="1"/>
      <w:numFmt w:val="bullet"/>
      <w:lvlText w:val=""/>
      <w:lvlJc w:val="left"/>
      <w:pPr>
        <w:ind w:left="720" w:hanging="360"/>
      </w:pPr>
      <w:rPr>
        <w:rFonts w:ascii="Symbol" w:hAnsi="Symbol"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8055A"/>
    <w:multiLevelType w:val="hybridMultilevel"/>
    <w:tmpl w:val="917015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F6408F"/>
    <w:multiLevelType w:val="hybridMultilevel"/>
    <w:tmpl w:val="65C25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66C8D"/>
    <w:multiLevelType w:val="hybridMultilevel"/>
    <w:tmpl w:val="5E346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12B59"/>
    <w:multiLevelType w:val="hybridMultilevel"/>
    <w:tmpl w:val="8EC8F184"/>
    <w:lvl w:ilvl="0" w:tplc="D166B99E">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E4B43"/>
    <w:multiLevelType w:val="hybridMultilevel"/>
    <w:tmpl w:val="297496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D6464F7"/>
    <w:multiLevelType w:val="hybridMultilevel"/>
    <w:tmpl w:val="CDD62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D3EBE"/>
    <w:multiLevelType w:val="hybridMultilevel"/>
    <w:tmpl w:val="87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D2BA7"/>
    <w:multiLevelType w:val="hybridMultilevel"/>
    <w:tmpl w:val="D318CE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EA741DD"/>
    <w:multiLevelType w:val="hybridMultilevel"/>
    <w:tmpl w:val="CDD62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A200B"/>
    <w:multiLevelType w:val="hybridMultilevel"/>
    <w:tmpl w:val="C6462510"/>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27484836">
      <w:start w:val="1"/>
      <w:numFmt w:val="decimal"/>
      <w:lvlText w:val="%4."/>
      <w:lvlJc w:val="left"/>
      <w:pPr>
        <w:ind w:left="2880" w:hanging="360"/>
      </w:pPr>
      <w:rPr>
        <w:b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2972D1"/>
    <w:multiLevelType w:val="hybridMultilevel"/>
    <w:tmpl w:val="F8C66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2FB58C8"/>
    <w:multiLevelType w:val="hybridMultilevel"/>
    <w:tmpl w:val="24A66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008CB"/>
    <w:multiLevelType w:val="hybridMultilevel"/>
    <w:tmpl w:val="0F0EF178"/>
    <w:lvl w:ilvl="0" w:tplc="73A857C8">
      <w:numFmt w:val="bullet"/>
      <w:lvlText w:val="•"/>
      <w:lvlJc w:val="left"/>
      <w:pPr>
        <w:ind w:left="714" w:hanging="62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F359B"/>
    <w:multiLevelType w:val="hybridMultilevel"/>
    <w:tmpl w:val="6272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16F0"/>
    <w:multiLevelType w:val="hybridMultilevel"/>
    <w:tmpl w:val="7ABE6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94526DC"/>
    <w:multiLevelType w:val="hybridMultilevel"/>
    <w:tmpl w:val="F2788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7321DD"/>
    <w:multiLevelType w:val="hybridMultilevel"/>
    <w:tmpl w:val="C43E1360"/>
    <w:lvl w:ilvl="0" w:tplc="E9D431EE">
      <w:start w:val="1"/>
      <w:numFmt w:val="bullet"/>
      <w:lvlText w:val=""/>
      <w:lvlJc w:val="left"/>
      <w:pPr>
        <w:ind w:left="720" w:hanging="360"/>
      </w:pPr>
      <w:rPr>
        <w:rFonts w:ascii="Symbol" w:hAnsi="Symbol" w:hint="default"/>
        <w:color w:val="1F4E79" w:themeColor="accent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043BDF"/>
    <w:multiLevelType w:val="hybridMultilevel"/>
    <w:tmpl w:val="040EECEA"/>
    <w:lvl w:ilvl="0" w:tplc="73A857C8">
      <w:numFmt w:val="bullet"/>
      <w:lvlText w:val="•"/>
      <w:lvlJc w:val="left"/>
      <w:pPr>
        <w:ind w:left="1344" w:hanging="624"/>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1EA56387"/>
    <w:multiLevelType w:val="hybridMultilevel"/>
    <w:tmpl w:val="FED86FC8"/>
    <w:lvl w:ilvl="0" w:tplc="E9D431EE">
      <w:start w:val="1"/>
      <w:numFmt w:val="bullet"/>
      <w:lvlText w:val=""/>
      <w:lvlJc w:val="left"/>
      <w:pPr>
        <w:ind w:left="1080" w:hanging="360"/>
      </w:pPr>
      <w:rPr>
        <w:rFonts w:ascii="Symbol" w:hAnsi="Symbol" w:hint="default"/>
        <w:color w:val="1F4E79" w:themeColor="accent1" w:themeShade="8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0D83712"/>
    <w:multiLevelType w:val="hybridMultilevel"/>
    <w:tmpl w:val="65107F36"/>
    <w:lvl w:ilvl="0" w:tplc="0826D6C8">
      <w:start w:val="18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950C7A"/>
    <w:multiLevelType w:val="hybridMultilevel"/>
    <w:tmpl w:val="A76C8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BB020B"/>
    <w:multiLevelType w:val="hybridMultilevel"/>
    <w:tmpl w:val="06F8961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4D7986"/>
    <w:multiLevelType w:val="hybridMultilevel"/>
    <w:tmpl w:val="A8A8E7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27C027C1"/>
    <w:multiLevelType w:val="hybridMultilevel"/>
    <w:tmpl w:val="656C6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D369C6"/>
    <w:multiLevelType w:val="hybridMultilevel"/>
    <w:tmpl w:val="2A881F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2DAF3E91"/>
    <w:multiLevelType w:val="hybridMultilevel"/>
    <w:tmpl w:val="917015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2564DF"/>
    <w:multiLevelType w:val="hybridMultilevel"/>
    <w:tmpl w:val="926E27BC"/>
    <w:lvl w:ilvl="0" w:tplc="2AC4E6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F5B056A"/>
    <w:multiLevelType w:val="hybridMultilevel"/>
    <w:tmpl w:val="4C863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C0140D"/>
    <w:multiLevelType w:val="hybridMultilevel"/>
    <w:tmpl w:val="CDD6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A0349"/>
    <w:multiLevelType w:val="hybridMultilevel"/>
    <w:tmpl w:val="2AC66216"/>
    <w:lvl w:ilvl="0" w:tplc="BC86E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5F82125"/>
    <w:multiLevelType w:val="hybridMultilevel"/>
    <w:tmpl w:val="6FDA6CFA"/>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FA4385"/>
    <w:multiLevelType w:val="hybridMultilevel"/>
    <w:tmpl w:val="E56282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773C2C"/>
    <w:multiLevelType w:val="hybridMultilevel"/>
    <w:tmpl w:val="4C4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B51602"/>
    <w:multiLevelType w:val="hybridMultilevel"/>
    <w:tmpl w:val="EB30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AC96D1D"/>
    <w:multiLevelType w:val="hybridMultilevel"/>
    <w:tmpl w:val="956C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0870B3"/>
    <w:multiLevelType w:val="hybridMultilevel"/>
    <w:tmpl w:val="D9C615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41891"/>
    <w:multiLevelType w:val="hybridMultilevel"/>
    <w:tmpl w:val="5798F408"/>
    <w:lvl w:ilvl="0" w:tplc="73A857C8">
      <w:numFmt w:val="bullet"/>
      <w:lvlText w:val="•"/>
      <w:lvlJc w:val="left"/>
      <w:pPr>
        <w:ind w:left="1434" w:hanging="624"/>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D114ED"/>
    <w:multiLevelType w:val="hybridMultilevel"/>
    <w:tmpl w:val="E30CF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7B5023"/>
    <w:multiLevelType w:val="hybridMultilevel"/>
    <w:tmpl w:val="0CD8F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A18493C"/>
    <w:multiLevelType w:val="hybridMultilevel"/>
    <w:tmpl w:val="A206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CFC1641"/>
    <w:multiLevelType w:val="hybridMultilevel"/>
    <w:tmpl w:val="656C6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445D3D"/>
    <w:multiLevelType w:val="hybridMultilevel"/>
    <w:tmpl w:val="780A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E93008"/>
    <w:multiLevelType w:val="hybridMultilevel"/>
    <w:tmpl w:val="C632E47E"/>
    <w:lvl w:ilvl="0" w:tplc="0826D6C8">
      <w:start w:val="18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A118D5"/>
    <w:multiLevelType w:val="hybridMultilevel"/>
    <w:tmpl w:val="7F1E1B74"/>
    <w:lvl w:ilvl="0" w:tplc="E9D431EE">
      <w:start w:val="1"/>
      <w:numFmt w:val="bullet"/>
      <w:lvlText w:val=""/>
      <w:lvlJc w:val="left"/>
      <w:pPr>
        <w:ind w:left="720" w:hanging="360"/>
      </w:pPr>
      <w:rPr>
        <w:rFonts w:ascii="Symbol" w:hAnsi="Symbol" w:hint="default"/>
        <w:color w:val="1F4E79" w:themeColor="accent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000370"/>
    <w:multiLevelType w:val="hybridMultilevel"/>
    <w:tmpl w:val="08A0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E28640B"/>
    <w:multiLevelType w:val="hybridMultilevel"/>
    <w:tmpl w:val="38EC2EE8"/>
    <w:lvl w:ilvl="0" w:tplc="E9D431EE">
      <w:start w:val="1"/>
      <w:numFmt w:val="bullet"/>
      <w:lvlText w:val=""/>
      <w:lvlJc w:val="left"/>
      <w:pPr>
        <w:ind w:left="720" w:hanging="360"/>
      </w:pPr>
      <w:rPr>
        <w:rFonts w:ascii="Symbol" w:hAnsi="Symbol"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E33CFA"/>
    <w:multiLevelType w:val="hybridMultilevel"/>
    <w:tmpl w:val="0484A5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617642DA"/>
    <w:multiLevelType w:val="hybridMultilevel"/>
    <w:tmpl w:val="C9C05896"/>
    <w:lvl w:ilvl="0" w:tplc="E9D431EE">
      <w:start w:val="1"/>
      <w:numFmt w:val="bullet"/>
      <w:lvlText w:val=""/>
      <w:lvlJc w:val="left"/>
      <w:pPr>
        <w:ind w:left="720" w:hanging="360"/>
      </w:pPr>
      <w:rPr>
        <w:rFonts w:ascii="Symbol" w:hAnsi="Symbol"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97575C"/>
    <w:multiLevelType w:val="hybridMultilevel"/>
    <w:tmpl w:val="1B6EC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E42D65"/>
    <w:multiLevelType w:val="hybridMultilevel"/>
    <w:tmpl w:val="10CA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84105F"/>
    <w:multiLevelType w:val="hybridMultilevel"/>
    <w:tmpl w:val="813C49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70745833"/>
    <w:multiLevelType w:val="hybridMultilevel"/>
    <w:tmpl w:val="3670B988"/>
    <w:lvl w:ilvl="0" w:tplc="9A72AFA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14E7DCF"/>
    <w:multiLevelType w:val="hybridMultilevel"/>
    <w:tmpl w:val="5E346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6126103"/>
    <w:multiLevelType w:val="hybridMultilevel"/>
    <w:tmpl w:val="C7D83E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6" w15:restartNumberingAfterBreak="0">
    <w:nsid w:val="765C77A1"/>
    <w:multiLevelType w:val="hybridMultilevel"/>
    <w:tmpl w:val="7834C178"/>
    <w:lvl w:ilvl="0" w:tplc="CBCCFD7C">
      <w:start w:val="1"/>
      <w:numFmt w:val="lowerLetter"/>
      <w:lvlText w:val="%1."/>
      <w:lvlJc w:val="left"/>
      <w:pPr>
        <w:ind w:left="1344" w:hanging="624"/>
      </w:pPr>
      <w:rPr>
        <w:rFonts w:asciiTheme="minorHAnsi" w:eastAsiaTheme="minorHAnsi" w:hAnsiTheme="minorHAnsi" w:cstheme="minorBidi"/>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7" w15:restartNumberingAfterBreak="0">
    <w:nsid w:val="76C118D9"/>
    <w:multiLevelType w:val="hybridMultilevel"/>
    <w:tmpl w:val="D2CA1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3A485C"/>
    <w:multiLevelType w:val="hybridMultilevel"/>
    <w:tmpl w:val="E8D2805A"/>
    <w:lvl w:ilvl="0" w:tplc="73A857C8">
      <w:numFmt w:val="bullet"/>
      <w:lvlText w:val="•"/>
      <w:lvlJc w:val="left"/>
      <w:pPr>
        <w:ind w:left="714" w:hanging="624"/>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9" w15:restartNumberingAfterBreak="0">
    <w:nsid w:val="77FB2250"/>
    <w:multiLevelType w:val="hybridMultilevel"/>
    <w:tmpl w:val="1C485504"/>
    <w:lvl w:ilvl="0" w:tplc="73A857C8">
      <w:numFmt w:val="bullet"/>
      <w:lvlText w:val="•"/>
      <w:lvlJc w:val="left"/>
      <w:pPr>
        <w:ind w:left="1338" w:hanging="624"/>
      </w:pPr>
      <w:rPr>
        <w:rFonts w:ascii="Calibri" w:eastAsiaTheme="minorHAnsi" w:hAnsi="Calibri" w:cstheme="minorBidi"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0" w15:restartNumberingAfterBreak="0">
    <w:nsid w:val="78604067"/>
    <w:multiLevelType w:val="hybridMultilevel"/>
    <w:tmpl w:val="0198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EC3A37"/>
    <w:multiLevelType w:val="hybridMultilevel"/>
    <w:tmpl w:val="3B5EE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1CEE7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6D2878"/>
    <w:multiLevelType w:val="hybridMultilevel"/>
    <w:tmpl w:val="63BC7F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9"/>
  </w:num>
  <w:num w:numId="4">
    <w:abstractNumId w:val="16"/>
  </w:num>
  <w:num w:numId="5">
    <w:abstractNumId w:val="53"/>
  </w:num>
  <w:num w:numId="6">
    <w:abstractNumId w:val="57"/>
  </w:num>
  <w:num w:numId="7">
    <w:abstractNumId w:val="13"/>
  </w:num>
  <w:num w:numId="8">
    <w:abstractNumId w:val="27"/>
  </w:num>
  <w:num w:numId="9">
    <w:abstractNumId w:val="30"/>
  </w:num>
  <w:num w:numId="10">
    <w:abstractNumId w:val="31"/>
  </w:num>
  <w:num w:numId="11">
    <w:abstractNumId w:val="51"/>
  </w:num>
  <w:num w:numId="12">
    <w:abstractNumId w:val="22"/>
  </w:num>
  <w:num w:numId="13">
    <w:abstractNumId w:val="47"/>
  </w:num>
  <w:num w:numId="14">
    <w:abstractNumId w:val="39"/>
  </w:num>
  <w:num w:numId="15">
    <w:abstractNumId w:val="1"/>
  </w:num>
  <w:num w:numId="16">
    <w:abstractNumId w:val="49"/>
  </w:num>
  <w:num w:numId="17">
    <w:abstractNumId w:val="18"/>
  </w:num>
  <w:num w:numId="18">
    <w:abstractNumId w:val="20"/>
  </w:num>
  <w:num w:numId="19">
    <w:abstractNumId w:val="45"/>
  </w:num>
  <w:num w:numId="20">
    <w:abstractNumId w:val="23"/>
  </w:num>
  <w:num w:numId="21">
    <w:abstractNumId w:val="29"/>
  </w:num>
  <w:num w:numId="22">
    <w:abstractNumId w:val="32"/>
  </w:num>
  <w:num w:numId="23">
    <w:abstractNumId w:val="24"/>
  </w:num>
  <w:num w:numId="24">
    <w:abstractNumId w:val="0"/>
  </w:num>
  <w:num w:numId="25">
    <w:abstractNumId w:val="7"/>
  </w:num>
  <w:num w:numId="26">
    <w:abstractNumId w:val="12"/>
  </w:num>
  <w:num w:numId="27">
    <w:abstractNumId w:val="26"/>
  </w:num>
  <w:num w:numId="28">
    <w:abstractNumId w:val="21"/>
  </w:num>
  <w:num w:numId="29">
    <w:abstractNumId w:val="44"/>
  </w:num>
  <w:num w:numId="30">
    <w:abstractNumId w:val="33"/>
  </w:num>
  <w:num w:numId="31">
    <w:abstractNumId w:val="52"/>
  </w:num>
  <w:num w:numId="32">
    <w:abstractNumId w:val="41"/>
  </w:num>
  <w:num w:numId="33">
    <w:abstractNumId w:val="60"/>
  </w:num>
  <w:num w:numId="34">
    <w:abstractNumId w:val="62"/>
  </w:num>
  <w:num w:numId="35">
    <w:abstractNumId w:val="6"/>
  </w:num>
  <w:num w:numId="36">
    <w:abstractNumId w:val="46"/>
  </w:num>
  <w:num w:numId="37">
    <w:abstractNumId w:val="15"/>
  </w:num>
  <w:num w:numId="38">
    <w:abstractNumId w:val="55"/>
  </w:num>
  <w:num w:numId="39">
    <w:abstractNumId w:val="36"/>
  </w:num>
  <w:num w:numId="40">
    <w:abstractNumId w:val="40"/>
  </w:num>
  <w:num w:numId="41">
    <w:abstractNumId w:val="17"/>
  </w:num>
  <w:num w:numId="42">
    <w:abstractNumId w:val="3"/>
  </w:num>
  <w:num w:numId="43">
    <w:abstractNumId w:val="37"/>
  </w:num>
  <w:num w:numId="44">
    <w:abstractNumId w:val="8"/>
  </w:num>
  <w:num w:numId="45">
    <w:abstractNumId w:val="10"/>
  </w:num>
  <w:num w:numId="46">
    <w:abstractNumId w:val="34"/>
  </w:num>
  <w:num w:numId="47">
    <w:abstractNumId w:val="35"/>
  </w:num>
  <w:num w:numId="48">
    <w:abstractNumId w:val="58"/>
  </w:num>
  <w:num w:numId="49">
    <w:abstractNumId w:val="56"/>
  </w:num>
  <w:num w:numId="50">
    <w:abstractNumId w:val="59"/>
  </w:num>
  <w:num w:numId="51">
    <w:abstractNumId w:val="14"/>
  </w:num>
  <w:num w:numId="52">
    <w:abstractNumId w:val="19"/>
  </w:num>
  <w:num w:numId="53">
    <w:abstractNumId w:val="50"/>
  </w:num>
  <w:num w:numId="54">
    <w:abstractNumId w:val="42"/>
  </w:num>
  <w:num w:numId="55">
    <w:abstractNumId w:val="25"/>
  </w:num>
  <w:num w:numId="56">
    <w:abstractNumId w:val="61"/>
  </w:num>
  <w:num w:numId="57">
    <w:abstractNumId w:val="54"/>
  </w:num>
  <w:num w:numId="58">
    <w:abstractNumId w:val="4"/>
  </w:num>
  <w:num w:numId="59">
    <w:abstractNumId w:val="38"/>
  </w:num>
  <w:num w:numId="60">
    <w:abstractNumId w:val="43"/>
  </w:num>
  <w:num w:numId="61">
    <w:abstractNumId w:val="48"/>
  </w:num>
  <w:num w:numId="62">
    <w:abstractNumId w:val="2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9"/>
    <w:rsid w:val="0000105B"/>
    <w:rsid w:val="0000277B"/>
    <w:rsid w:val="000034C6"/>
    <w:rsid w:val="00003C71"/>
    <w:rsid w:val="00004032"/>
    <w:rsid w:val="00006679"/>
    <w:rsid w:val="00006F3A"/>
    <w:rsid w:val="000125DC"/>
    <w:rsid w:val="000129AE"/>
    <w:rsid w:val="00015D8C"/>
    <w:rsid w:val="00016836"/>
    <w:rsid w:val="00020451"/>
    <w:rsid w:val="00020B5E"/>
    <w:rsid w:val="000221CA"/>
    <w:rsid w:val="00023723"/>
    <w:rsid w:val="00024472"/>
    <w:rsid w:val="00024898"/>
    <w:rsid w:val="00024C80"/>
    <w:rsid w:val="00025579"/>
    <w:rsid w:val="00025C82"/>
    <w:rsid w:val="000273BA"/>
    <w:rsid w:val="00030A4F"/>
    <w:rsid w:val="00035B28"/>
    <w:rsid w:val="0003638A"/>
    <w:rsid w:val="000412E5"/>
    <w:rsid w:val="00043419"/>
    <w:rsid w:val="000445E9"/>
    <w:rsid w:val="00045DD8"/>
    <w:rsid w:val="00046F5A"/>
    <w:rsid w:val="00053504"/>
    <w:rsid w:val="000540D8"/>
    <w:rsid w:val="0005448B"/>
    <w:rsid w:val="000569A6"/>
    <w:rsid w:val="00056DDD"/>
    <w:rsid w:val="00064492"/>
    <w:rsid w:val="00064E9D"/>
    <w:rsid w:val="0006598D"/>
    <w:rsid w:val="000676C9"/>
    <w:rsid w:val="00073081"/>
    <w:rsid w:val="00073A55"/>
    <w:rsid w:val="00076591"/>
    <w:rsid w:val="000773B8"/>
    <w:rsid w:val="000807B3"/>
    <w:rsid w:val="00082487"/>
    <w:rsid w:val="000828E8"/>
    <w:rsid w:val="00083CB5"/>
    <w:rsid w:val="0008623C"/>
    <w:rsid w:val="00087568"/>
    <w:rsid w:val="000901F6"/>
    <w:rsid w:val="00090401"/>
    <w:rsid w:val="00090A93"/>
    <w:rsid w:val="00093AC9"/>
    <w:rsid w:val="000959E0"/>
    <w:rsid w:val="000A5D6B"/>
    <w:rsid w:val="000A7538"/>
    <w:rsid w:val="000B01E3"/>
    <w:rsid w:val="000B09CE"/>
    <w:rsid w:val="000B34DF"/>
    <w:rsid w:val="000B3BF2"/>
    <w:rsid w:val="000B3C82"/>
    <w:rsid w:val="000B3FE7"/>
    <w:rsid w:val="000B666D"/>
    <w:rsid w:val="000C0CBF"/>
    <w:rsid w:val="000C0D2B"/>
    <w:rsid w:val="000C0E24"/>
    <w:rsid w:val="000C373E"/>
    <w:rsid w:val="000C484E"/>
    <w:rsid w:val="000C49ED"/>
    <w:rsid w:val="000C57FE"/>
    <w:rsid w:val="000C7293"/>
    <w:rsid w:val="000C7DEC"/>
    <w:rsid w:val="000D273A"/>
    <w:rsid w:val="000D3823"/>
    <w:rsid w:val="000D48A9"/>
    <w:rsid w:val="000D4A47"/>
    <w:rsid w:val="000D6781"/>
    <w:rsid w:val="000D6FBE"/>
    <w:rsid w:val="000D73B3"/>
    <w:rsid w:val="000E12B8"/>
    <w:rsid w:val="000E39C4"/>
    <w:rsid w:val="000E6735"/>
    <w:rsid w:val="000E683C"/>
    <w:rsid w:val="000F2BAD"/>
    <w:rsid w:val="000F313D"/>
    <w:rsid w:val="000F5B21"/>
    <w:rsid w:val="000F6592"/>
    <w:rsid w:val="00105C57"/>
    <w:rsid w:val="00106425"/>
    <w:rsid w:val="00107A72"/>
    <w:rsid w:val="00110307"/>
    <w:rsid w:val="001108D3"/>
    <w:rsid w:val="00110A08"/>
    <w:rsid w:val="0011199E"/>
    <w:rsid w:val="00114547"/>
    <w:rsid w:val="00114CCF"/>
    <w:rsid w:val="00115439"/>
    <w:rsid w:val="001179DA"/>
    <w:rsid w:val="001211FD"/>
    <w:rsid w:val="00121BE6"/>
    <w:rsid w:val="001243F9"/>
    <w:rsid w:val="00124933"/>
    <w:rsid w:val="001252F6"/>
    <w:rsid w:val="00126BA9"/>
    <w:rsid w:val="00130CB0"/>
    <w:rsid w:val="00131877"/>
    <w:rsid w:val="00132284"/>
    <w:rsid w:val="00134E29"/>
    <w:rsid w:val="00135131"/>
    <w:rsid w:val="00135A19"/>
    <w:rsid w:val="00140328"/>
    <w:rsid w:val="00141BF5"/>
    <w:rsid w:val="00142321"/>
    <w:rsid w:val="001442CD"/>
    <w:rsid w:val="00145514"/>
    <w:rsid w:val="001459DA"/>
    <w:rsid w:val="00146E0D"/>
    <w:rsid w:val="00147758"/>
    <w:rsid w:val="00147C2F"/>
    <w:rsid w:val="00150C02"/>
    <w:rsid w:val="00150D9E"/>
    <w:rsid w:val="0015474F"/>
    <w:rsid w:val="00154B57"/>
    <w:rsid w:val="0015500B"/>
    <w:rsid w:val="00156892"/>
    <w:rsid w:val="00160795"/>
    <w:rsid w:val="00160BC5"/>
    <w:rsid w:val="00160F09"/>
    <w:rsid w:val="00162D29"/>
    <w:rsid w:val="00165BEB"/>
    <w:rsid w:val="0016641F"/>
    <w:rsid w:val="001671EE"/>
    <w:rsid w:val="00167C7E"/>
    <w:rsid w:val="0017031F"/>
    <w:rsid w:val="001708A6"/>
    <w:rsid w:val="0017103C"/>
    <w:rsid w:val="0017145A"/>
    <w:rsid w:val="001725B9"/>
    <w:rsid w:val="00175047"/>
    <w:rsid w:val="0017533E"/>
    <w:rsid w:val="00175CBF"/>
    <w:rsid w:val="00176C67"/>
    <w:rsid w:val="00176DA7"/>
    <w:rsid w:val="001774F9"/>
    <w:rsid w:val="00181A22"/>
    <w:rsid w:val="0018267B"/>
    <w:rsid w:val="001832C5"/>
    <w:rsid w:val="001833DB"/>
    <w:rsid w:val="001857A7"/>
    <w:rsid w:val="0018677F"/>
    <w:rsid w:val="00186FA2"/>
    <w:rsid w:val="00190C80"/>
    <w:rsid w:val="00190E8F"/>
    <w:rsid w:val="0019197F"/>
    <w:rsid w:val="001924D2"/>
    <w:rsid w:val="00192C90"/>
    <w:rsid w:val="00192CEA"/>
    <w:rsid w:val="00193563"/>
    <w:rsid w:val="0019591B"/>
    <w:rsid w:val="00196625"/>
    <w:rsid w:val="00197134"/>
    <w:rsid w:val="001A1BE6"/>
    <w:rsid w:val="001A1E5D"/>
    <w:rsid w:val="001A4E95"/>
    <w:rsid w:val="001A5F36"/>
    <w:rsid w:val="001A714E"/>
    <w:rsid w:val="001B3720"/>
    <w:rsid w:val="001B4058"/>
    <w:rsid w:val="001B47DB"/>
    <w:rsid w:val="001B5C17"/>
    <w:rsid w:val="001B6D8E"/>
    <w:rsid w:val="001B763C"/>
    <w:rsid w:val="001C77FB"/>
    <w:rsid w:val="001D088A"/>
    <w:rsid w:val="001D15C4"/>
    <w:rsid w:val="001D1D61"/>
    <w:rsid w:val="001D2787"/>
    <w:rsid w:val="001D488F"/>
    <w:rsid w:val="001D4BF1"/>
    <w:rsid w:val="001D5EC6"/>
    <w:rsid w:val="001D61DB"/>
    <w:rsid w:val="001E048E"/>
    <w:rsid w:val="001E2249"/>
    <w:rsid w:val="001E362B"/>
    <w:rsid w:val="001E3FF0"/>
    <w:rsid w:val="001E43B4"/>
    <w:rsid w:val="001E4702"/>
    <w:rsid w:val="001E5666"/>
    <w:rsid w:val="001E7110"/>
    <w:rsid w:val="001F06C0"/>
    <w:rsid w:val="001F074F"/>
    <w:rsid w:val="001F0CA0"/>
    <w:rsid w:val="001F33DC"/>
    <w:rsid w:val="001F3998"/>
    <w:rsid w:val="001F47BB"/>
    <w:rsid w:val="001F5FE9"/>
    <w:rsid w:val="0020074C"/>
    <w:rsid w:val="00201AA1"/>
    <w:rsid w:val="002025A3"/>
    <w:rsid w:val="00206215"/>
    <w:rsid w:val="00206650"/>
    <w:rsid w:val="00207ED6"/>
    <w:rsid w:val="00211540"/>
    <w:rsid w:val="002128CB"/>
    <w:rsid w:val="002132E3"/>
    <w:rsid w:val="002141F2"/>
    <w:rsid w:val="00215EB0"/>
    <w:rsid w:val="00216A8F"/>
    <w:rsid w:val="00217BFC"/>
    <w:rsid w:val="002205C7"/>
    <w:rsid w:val="00221EF6"/>
    <w:rsid w:val="00222A89"/>
    <w:rsid w:val="002238E8"/>
    <w:rsid w:val="00223ADB"/>
    <w:rsid w:val="002244B2"/>
    <w:rsid w:val="00225860"/>
    <w:rsid w:val="002260BF"/>
    <w:rsid w:val="00226B41"/>
    <w:rsid w:val="0022776F"/>
    <w:rsid w:val="00230C91"/>
    <w:rsid w:val="00231A6D"/>
    <w:rsid w:val="00231F8D"/>
    <w:rsid w:val="0023291C"/>
    <w:rsid w:val="0023471D"/>
    <w:rsid w:val="002356E0"/>
    <w:rsid w:val="00235EB7"/>
    <w:rsid w:val="00237050"/>
    <w:rsid w:val="002372F5"/>
    <w:rsid w:val="0023763D"/>
    <w:rsid w:val="0023783F"/>
    <w:rsid w:val="00237844"/>
    <w:rsid w:val="0024018A"/>
    <w:rsid w:val="00240817"/>
    <w:rsid w:val="0024149C"/>
    <w:rsid w:val="00246164"/>
    <w:rsid w:val="002461D5"/>
    <w:rsid w:val="00246E75"/>
    <w:rsid w:val="002509FF"/>
    <w:rsid w:val="00251023"/>
    <w:rsid w:val="0025150B"/>
    <w:rsid w:val="002529C8"/>
    <w:rsid w:val="002546E8"/>
    <w:rsid w:val="00255B61"/>
    <w:rsid w:val="0025761C"/>
    <w:rsid w:val="0026130A"/>
    <w:rsid w:val="00261465"/>
    <w:rsid w:val="00261825"/>
    <w:rsid w:val="00261925"/>
    <w:rsid w:val="00263B4D"/>
    <w:rsid w:val="0026418B"/>
    <w:rsid w:val="0026710F"/>
    <w:rsid w:val="00267B52"/>
    <w:rsid w:val="00270508"/>
    <w:rsid w:val="0027410A"/>
    <w:rsid w:val="00274758"/>
    <w:rsid w:val="00275CFC"/>
    <w:rsid w:val="0027751E"/>
    <w:rsid w:val="002779DB"/>
    <w:rsid w:val="0028043F"/>
    <w:rsid w:val="002808CE"/>
    <w:rsid w:val="00282698"/>
    <w:rsid w:val="00283007"/>
    <w:rsid w:val="002837E3"/>
    <w:rsid w:val="00283A83"/>
    <w:rsid w:val="0029000E"/>
    <w:rsid w:val="0029135D"/>
    <w:rsid w:val="002915EA"/>
    <w:rsid w:val="00292E49"/>
    <w:rsid w:val="002978D8"/>
    <w:rsid w:val="00297D2E"/>
    <w:rsid w:val="002A2B6D"/>
    <w:rsid w:val="002A379B"/>
    <w:rsid w:val="002A3B35"/>
    <w:rsid w:val="002A531A"/>
    <w:rsid w:val="002A5CE6"/>
    <w:rsid w:val="002B009F"/>
    <w:rsid w:val="002B25F1"/>
    <w:rsid w:val="002B2A04"/>
    <w:rsid w:val="002B52E6"/>
    <w:rsid w:val="002B6204"/>
    <w:rsid w:val="002C1C46"/>
    <w:rsid w:val="002C328F"/>
    <w:rsid w:val="002C3DC8"/>
    <w:rsid w:val="002C5071"/>
    <w:rsid w:val="002C5D36"/>
    <w:rsid w:val="002C6409"/>
    <w:rsid w:val="002C6A4F"/>
    <w:rsid w:val="002C6EAC"/>
    <w:rsid w:val="002D0709"/>
    <w:rsid w:val="002D27B5"/>
    <w:rsid w:val="002D312D"/>
    <w:rsid w:val="002D3F27"/>
    <w:rsid w:val="002D3F34"/>
    <w:rsid w:val="002D7007"/>
    <w:rsid w:val="002D7A1D"/>
    <w:rsid w:val="002E1D22"/>
    <w:rsid w:val="002E3A4D"/>
    <w:rsid w:val="002E6358"/>
    <w:rsid w:val="002E6CF1"/>
    <w:rsid w:val="002F2DD4"/>
    <w:rsid w:val="002F4C72"/>
    <w:rsid w:val="002F5DC9"/>
    <w:rsid w:val="002F6CE8"/>
    <w:rsid w:val="002F774E"/>
    <w:rsid w:val="00302625"/>
    <w:rsid w:val="00304CD4"/>
    <w:rsid w:val="00305578"/>
    <w:rsid w:val="003067CA"/>
    <w:rsid w:val="0031085A"/>
    <w:rsid w:val="00310BCC"/>
    <w:rsid w:val="00310F97"/>
    <w:rsid w:val="00311B93"/>
    <w:rsid w:val="00312578"/>
    <w:rsid w:val="0031340F"/>
    <w:rsid w:val="00314095"/>
    <w:rsid w:val="00314B9F"/>
    <w:rsid w:val="00314C14"/>
    <w:rsid w:val="00315119"/>
    <w:rsid w:val="00317203"/>
    <w:rsid w:val="003226E1"/>
    <w:rsid w:val="00322B3E"/>
    <w:rsid w:val="0032313C"/>
    <w:rsid w:val="003244C8"/>
    <w:rsid w:val="00325286"/>
    <w:rsid w:val="00326278"/>
    <w:rsid w:val="003269BB"/>
    <w:rsid w:val="003277FF"/>
    <w:rsid w:val="003312A2"/>
    <w:rsid w:val="00331A73"/>
    <w:rsid w:val="003346A4"/>
    <w:rsid w:val="00335BB6"/>
    <w:rsid w:val="00335FFA"/>
    <w:rsid w:val="003371BC"/>
    <w:rsid w:val="0034381F"/>
    <w:rsid w:val="0034388F"/>
    <w:rsid w:val="0034488A"/>
    <w:rsid w:val="00345A8B"/>
    <w:rsid w:val="00345E5C"/>
    <w:rsid w:val="00346C11"/>
    <w:rsid w:val="00350076"/>
    <w:rsid w:val="00350A54"/>
    <w:rsid w:val="0035405B"/>
    <w:rsid w:val="00355A71"/>
    <w:rsid w:val="00357492"/>
    <w:rsid w:val="003606BA"/>
    <w:rsid w:val="00360ADC"/>
    <w:rsid w:val="00360F52"/>
    <w:rsid w:val="0036318A"/>
    <w:rsid w:val="003634DD"/>
    <w:rsid w:val="00370193"/>
    <w:rsid w:val="00370919"/>
    <w:rsid w:val="00371503"/>
    <w:rsid w:val="00372036"/>
    <w:rsid w:val="00375F77"/>
    <w:rsid w:val="00380509"/>
    <w:rsid w:val="00380706"/>
    <w:rsid w:val="003827E4"/>
    <w:rsid w:val="00383B0A"/>
    <w:rsid w:val="00387A80"/>
    <w:rsid w:val="00390AE9"/>
    <w:rsid w:val="00392920"/>
    <w:rsid w:val="0039390F"/>
    <w:rsid w:val="00394D09"/>
    <w:rsid w:val="003A5245"/>
    <w:rsid w:val="003A66F9"/>
    <w:rsid w:val="003B05DC"/>
    <w:rsid w:val="003B112B"/>
    <w:rsid w:val="003B25FD"/>
    <w:rsid w:val="003B26D8"/>
    <w:rsid w:val="003B7223"/>
    <w:rsid w:val="003C074D"/>
    <w:rsid w:val="003C111F"/>
    <w:rsid w:val="003C220F"/>
    <w:rsid w:val="003C299D"/>
    <w:rsid w:val="003C4DFB"/>
    <w:rsid w:val="003C5D8C"/>
    <w:rsid w:val="003D0496"/>
    <w:rsid w:val="003D1202"/>
    <w:rsid w:val="003D2238"/>
    <w:rsid w:val="003D22FA"/>
    <w:rsid w:val="003D2996"/>
    <w:rsid w:val="003D5AE6"/>
    <w:rsid w:val="003E10B4"/>
    <w:rsid w:val="003E21AF"/>
    <w:rsid w:val="003E27B4"/>
    <w:rsid w:val="003E3698"/>
    <w:rsid w:val="003E4838"/>
    <w:rsid w:val="003E5622"/>
    <w:rsid w:val="003E5A12"/>
    <w:rsid w:val="003E5C5D"/>
    <w:rsid w:val="003E65EA"/>
    <w:rsid w:val="003F09DB"/>
    <w:rsid w:val="003F14BF"/>
    <w:rsid w:val="003F2918"/>
    <w:rsid w:val="003F38DD"/>
    <w:rsid w:val="003F5550"/>
    <w:rsid w:val="003F5C5B"/>
    <w:rsid w:val="00401174"/>
    <w:rsid w:val="004019D2"/>
    <w:rsid w:val="00407CED"/>
    <w:rsid w:val="00407F4B"/>
    <w:rsid w:val="00411A23"/>
    <w:rsid w:val="00412049"/>
    <w:rsid w:val="004136C3"/>
    <w:rsid w:val="00416213"/>
    <w:rsid w:val="00416994"/>
    <w:rsid w:val="00416D0D"/>
    <w:rsid w:val="00420711"/>
    <w:rsid w:val="00421FBE"/>
    <w:rsid w:val="00422D17"/>
    <w:rsid w:val="004240B4"/>
    <w:rsid w:val="00424764"/>
    <w:rsid w:val="00424C99"/>
    <w:rsid w:val="004277A1"/>
    <w:rsid w:val="00430789"/>
    <w:rsid w:val="00430BBE"/>
    <w:rsid w:val="00430F9D"/>
    <w:rsid w:val="004314B1"/>
    <w:rsid w:val="00431986"/>
    <w:rsid w:val="0043252E"/>
    <w:rsid w:val="0043306F"/>
    <w:rsid w:val="00435271"/>
    <w:rsid w:val="00435823"/>
    <w:rsid w:val="004359C4"/>
    <w:rsid w:val="004359F8"/>
    <w:rsid w:val="00437B1E"/>
    <w:rsid w:val="00437E77"/>
    <w:rsid w:val="00440063"/>
    <w:rsid w:val="00440A1F"/>
    <w:rsid w:val="00441C91"/>
    <w:rsid w:val="00441CCE"/>
    <w:rsid w:val="0044432A"/>
    <w:rsid w:val="00444AE9"/>
    <w:rsid w:val="0044725E"/>
    <w:rsid w:val="004476F0"/>
    <w:rsid w:val="00447E22"/>
    <w:rsid w:val="00447FA5"/>
    <w:rsid w:val="004500C0"/>
    <w:rsid w:val="00450744"/>
    <w:rsid w:val="00450ED1"/>
    <w:rsid w:val="004521A6"/>
    <w:rsid w:val="0045242F"/>
    <w:rsid w:val="004541BB"/>
    <w:rsid w:val="00454B1B"/>
    <w:rsid w:val="00461527"/>
    <w:rsid w:val="00462924"/>
    <w:rsid w:val="00464DA2"/>
    <w:rsid w:val="004662B0"/>
    <w:rsid w:val="00466F21"/>
    <w:rsid w:val="00470096"/>
    <w:rsid w:val="004725C3"/>
    <w:rsid w:val="0047298D"/>
    <w:rsid w:val="00476451"/>
    <w:rsid w:val="00480750"/>
    <w:rsid w:val="00481C1F"/>
    <w:rsid w:val="00485291"/>
    <w:rsid w:val="004874BA"/>
    <w:rsid w:val="004905BF"/>
    <w:rsid w:val="004942A7"/>
    <w:rsid w:val="004947F4"/>
    <w:rsid w:val="004A0601"/>
    <w:rsid w:val="004A21DC"/>
    <w:rsid w:val="004A5D94"/>
    <w:rsid w:val="004A638B"/>
    <w:rsid w:val="004B3506"/>
    <w:rsid w:val="004B69CF"/>
    <w:rsid w:val="004B7875"/>
    <w:rsid w:val="004C1D6A"/>
    <w:rsid w:val="004C1D9E"/>
    <w:rsid w:val="004C4D4C"/>
    <w:rsid w:val="004C50FC"/>
    <w:rsid w:val="004C5CF2"/>
    <w:rsid w:val="004C6B9C"/>
    <w:rsid w:val="004C7163"/>
    <w:rsid w:val="004C7727"/>
    <w:rsid w:val="004C7E79"/>
    <w:rsid w:val="004D0162"/>
    <w:rsid w:val="004D1AF8"/>
    <w:rsid w:val="004D2524"/>
    <w:rsid w:val="004D288E"/>
    <w:rsid w:val="004D2E19"/>
    <w:rsid w:val="004D61B2"/>
    <w:rsid w:val="004E18C4"/>
    <w:rsid w:val="004E2A19"/>
    <w:rsid w:val="004E2CE7"/>
    <w:rsid w:val="004E438C"/>
    <w:rsid w:val="004E4A6A"/>
    <w:rsid w:val="004E612C"/>
    <w:rsid w:val="004E6C13"/>
    <w:rsid w:val="004F069E"/>
    <w:rsid w:val="004F2A7E"/>
    <w:rsid w:val="004F31A3"/>
    <w:rsid w:val="004F3395"/>
    <w:rsid w:val="004F3755"/>
    <w:rsid w:val="004F3CD8"/>
    <w:rsid w:val="004F579B"/>
    <w:rsid w:val="004F78EB"/>
    <w:rsid w:val="005009A5"/>
    <w:rsid w:val="00500BDD"/>
    <w:rsid w:val="005013AA"/>
    <w:rsid w:val="005015CB"/>
    <w:rsid w:val="005017C5"/>
    <w:rsid w:val="00501CB5"/>
    <w:rsid w:val="00502CA9"/>
    <w:rsid w:val="005041D3"/>
    <w:rsid w:val="00505CC1"/>
    <w:rsid w:val="005063EE"/>
    <w:rsid w:val="00506F1C"/>
    <w:rsid w:val="00507990"/>
    <w:rsid w:val="0051279B"/>
    <w:rsid w:val="00515817"/>
    <w:rsid w:val="00517E90"/>
    <w:rsid w:val="00522BF1"/>
    <w:rsid w:val="00522D32"/>
    <w:rsid w:val="005244A1"/>
    <w:rsid w:val="0052510A"/>
    <w:rsid w:val="00525BAC"/>
    <w:rsid w:val="00530956"/>
    <w:rsid w:val="00531561"/>
    <w:rsid w:val="00532104"/>
    <w:rsid w:val="00532C16"/>
    <w:rsid w:val="005330D1"/>
    <w:rsid w:val="00533927"/>
    <w:rsid w:val="005360AA"/>
    <w:rsid w:val="005366EE"/>
    <w:rsid w:val="0053692C"/>
    <w:rsid w:val="0054076B"/>
    <w:rsid w:val="00541C7E"/>
    <w:rsid w:val="00545203"/>
    <w:rsid w:val="00552F04"/>
    <w:rsid w:val="005610F6"/>
    <w:rsid w:val="00563D4E"/>
    <w:rsid w:val="00564A8C"/>
    <w:rsid w:val="00565424"/>
    <w:rsid w:val="00565778"/>
    <w:rsid w:val="0057075A"/>
    <w:rsid w:val="0057438F"/>
    <w:rsid w:val="005745B7"/>
    <w:rsid w:val="005748A9"/>
    <w:rsid w:val="0057534A"/>
    <w:rsid w:val="00576EE1"/>
    <w:rsid w:val="0057775C"/>
    <w:rsid w:val="00581195"/>
    <w:rsid w:val="005821E6"/>
    <w:rsid w:val="0058230D"/>
    <w:rsid w:val="005842DC"/>
    <w:rsid w:val="00584580"/>
    <w:rsid w:val="00584A62"/>
    <w:rsid w:val="00584FDC"/>
    <w:rsid w:val="0058533B"/>
    <w:rsid w:val="00592560"/>
    <w:rsid w:val="0059364F"/>
    <w:rsid w:val="005937A1"/>
    <w:rsid w:val="00593ED0"/>
    <w:rsid w:val="00595F6F"/>
    <w:rsid w:val="005965FD"/>
    <w:rsid w:val="005967B1"/>
    <w:rsid w:val="005969AE"/>
    <w:rsid w:val="005972EA"/>
    <w:rsid w:val="005A0C92"/>
    <w:rsid w:val="005A1A2F"/>
    <w:rsid w:val="005A33EF"/>
    <w:rsid w:val="005A6621"/>
    <w:rsid w:val="005B1F2D"/>
    <w:rsid w:val="005B2A97"/>
    <w:rsid w:val="005B33FB"/>
    <w:rsid w:val="005B3856"/>
    <w:rsid w:val="005B5631"/>
    <w:rsid w:val="005B6FA2"/>
    <w:rsid w:val="005C533F"/>
    <w:rsid w:val="005C5BDA"/>
    <w:rsid w:val="005C636F"/>
    <w:rsid w:val="005C6A2D"/>
    <w:rsid w:val="005C6BD8"/>
    <w:rsid w:val="005D02EE"/>
    <w:rsid w:val="005D1893"/>
    <w:rsid w:val="005D2D92"/>
    <w:rsid w:val="005D2E21"/>
    <w:rsid w:val="005D355E"/>
    <w:rsid w:val="005D4392"/>
    <w:rsid w:val="005D4674"/>
    <w:rsid w:val="005D5CCC"/>
    <w:rsid w:val="005D7107"/>
    <w:rsid w:val="005E2640"/>
    <w:rsid w:val="005E6680"/>
    <w:rsid w:val="005E6ACC"/>
    <w:rsid w:val="005E6D30"/>
    <w:rsid w:val="005E6DBB"/>
    <w:rsid w:val="005E71D4"/>
    <w:rsid w:val="005E73AA"/>
    <w:rsid w:val="005E788D"/>
    <w:rsid w:val="005E7B3E"/>
    <w:rsid w:val="005F1DB3"/>
    <w:rsid w:val="005F2B37"/>
    <w:rsid w:val="005F48D4"/>
    <w:rsid w:val="005F4DF8"/>
    <w:rsid w:val="00601122"/>
    <w:rsid w:val="00606342"/>
    <w:rsid w:val="00606E6F"/>
    <w:rsid w:val="00607586"/>
    <w:rsid w:val="0061402C"/>
    <w:rsid w:val="00614EBC"/>
    <w:rsid w:val="0061533F"/>
    <w:rsid w:val="006159C3"/>
    <w:rsid w:val="006177BA"/>
    <w:rsid w:val="00621407"/>
    <w:rsid w:val="00621581"/>
    <w:rsid w:val="00621939"/>
    <w:rsid w:val="0062310C"/>
    <w:rsid w:val="00623C2E"/>
    <w:rsid w:val="0062521A"/>
    <w:rsid w:val="00625E8D"/>
    <w:rsid w:val="006268B6"/>
    <w:rsid w:val="0063019D"/>
    <w:rsid w:val="00630245"/>
    <w:rsid w:val="00630902"/>
    <w:rsid w:val="00633548"/>
    <w:rsid w:val="0063601C"/>
    <w:rsid w:val="006364CB"/>
    <w:rsid w:val="0063655C"/>
    <w:rsid w:val="0063782F"/>
    <w:rsid w:val="006407A4"/>
    <w:rsid w:val="00641B2D"/>
    <w:rsid w:val="00642595"/>
    <w:rsid w:val="0064422B"/>
    <w:rsid w:val="00647764"/>
    <w:rsid w:val="0065027C"/>
    <w:rsid w:val="00650C66"/>
    <w:rsid w:val="00651764"/>
    <w:rsid w:val="00652414"/>
    <w:rsid w:val="00654C14"/>
    <w:rsid w:val="00656A37"/>
    <w:rsid w:val="00661A14"/>
    <w:rsid w:val="00661CB0"/>
    <w:rsid w:val="00662485"/>
    <w:rsid w:val="00664902"/>
    <w:rsid w:val="00667BC7"/>
    <w:rsid w:val="00670211"/>
    <w:rsid w:val="00670918"/>
    <w:rsid w:val="00673047"/>
    <w:rsid w:val="00673EDA"/>
    <w:rsid w:val="006741AF"/>
    <w:rsid w:val="00675350"/>
    <w:rsid w:val="00676E76"/>
    <w:rsid w:val="00680525"/>
    <w:rsid w:val="00680AB4"/>
    <w:rsid w:val="00680B61"/>
    <w:rsid w:val="00680F37"/>
    <w:rsid w:val="006870F3"/>
    <w:rsid w:val="006907EC"/>
    <w:rsid w:val="0069127B"/>
    <w:rsid w:val="00691A72"/>
    <w:rsid w:val="0069257C"/>
    <w:rsid w:val="006931B7"/>
    <w:rsid w:val="006A138D"/>
    <w:rsid w:val="006A36B5"/>
    <w:rsid w:val="006A6183"/>
    <w:rsid w:val="006A7531"/>
    <w:rsid w:val="006B289E"/>
    <w:rsid w:val="006B42B5"/>
    <w:rsid w:val="006B5716"/>
    <w:rsid w:val="006B597D"/>
    <w:rsid w:val="006B63DA"/>
    <w:rsid w:val="006B6BC1"/>
    <w:rsid w:val="006B7759"/>
    <w:rsid w:val="006C069B"/>
    <w:rsid w:val="006C25DE"/>
    <w:rsid w:val="006C372F"/>
    <w:rsid w:val="006C3FF3"/>
    <w:rsid w:val="006C45F0"/>
    <w:rsid w:val="006C45FA"/>
    <w:rsid w:val="006C5ED3"/>
    <w:rsid w:val="006D092F"/>
    <w:rsid w:val="006D13B9"/>
    <w:rsid w:val="006D21CD"/>
    <w:rsid w:val="006D56F1"/>
    <w:rsid w:val="006E43D9"/>
    <w:rsid w:val="006E54D9"/>
    <w:rsid w:val="006E5E8E"/>
    <w:rsid w:val="006E68BF"/>
    <w:rsid w:val="006F09FB"/>
    <w:rsid w:val="006F371C"/>
    <w:rsid w:val="006F5195"/>
    <w:rsid w:val="006F5ABD"/>
    <w:rsid w:val="00704565"/>
    <w:rsid w:val="00705686"/>
    <w:rsid w:val="00711365"/>
    <w:rsid w:val="00712041"/>
    <w:rsid w:val="007124E0"/>
    <w:rsid w:val="00713C09"/>
    <w:rsid w:val="0071405D"/>
    <w:rsid w:val="00715DF1"/>
    <w:rsid w:val="00721077"/>
    <w:rsid w:val="00724136"/>
    <w:rsid w:val="00724827"/>
    <w:rsid w:val="00726ACE"/>
    <w:rsid w:val="0072751D"/>
    <w:rsid w:val="00734185"/>
    <w:rsid w:val="00735022"/>
    <w:rsid w:val="0073536F"/>
    <w:rsid w:val="007361EE"/>
    <w:rsid w:val="00736459"/>
    <w:rsid w:val="007427AC"/>
    <w:rsid w:val="00743720"/>
    <w:rsid w:val="007446FB"/>
    <w:rsid w:val="00745A63"/>
    <w:rsid w:val="00746A55"/>
    <w:rsid w:val="00747530"/>
    <w:rsid w:val="00750383"/>
    <w:rsid w:val="00750ADF"/>
    <w:rsid w:val="007516BE"/>
    <w:rsid w:val="0075205E"/>
    <w:rsid w:val="0075654C"/>
    <w:rsid w:val="0075796D"/>
    <w:rsid w:val="0076064D"/>
    <w:rsid w:val="00760741"/>
    <w:rsid w:val="007609CE"/>
    <w:rsid w:val="007610F2"/>
    <w:rsid w:val="00761510"/>
    <w:rsid w:val="00764369"/>
    <w:rsid w:val="00764CB4"/>
    <w:rsid w:val="00770DAC"/>
    <w:rsid w:val="00771043"/>
    <w:rsid w:val="007729BD"/>
    <w:rsid w:val="00772A70"/>
    <w:rsid w:val="007742CB"/>
    <w:rsid w:val="00775780"/>
    <w:rsid w:val="0077591A"/>
    <w:rsid w:val="007766C0"/>
    <w:rsid w:val="00776F4A"/>
    <w:rsid w:val="0078098A"/>
    <w:rsid w:val="007824BA"/>
    <w:rsid w:val="00784B38"/>
    <w:rsid w:val="00785C75"/>
    <w:rsid w:val="0079328D"/>
    <w:rsid w:val="007957D2"/>
    <w:rsid w:val="00795CD5"/>
    <w:rsid w:val="00797D06"/>
    <w:rsid w:val="007A09E3"/>
    <w:rsid w:val="007A0BBE"/>
    <w:rsid w:val="007A1AE0"/>
    <w:rsid w:val="007A4FAD"/>
    <w:rsid w:val="007B2837"/>
    <w:rsid w:val="007B291D"/>
    <w:rsid w:val="007B378F"/>
    <w:rsid w:val="007B60ED"/>
    <w:rsid w:val="007B6F06"/>
    <w:rsid w:val="007B77EE"/>
    <w:rsid w:val="007B78E3"/>
    <w:rsid w:val="007B7DD1"/>
    <w:rsid w:val="007C0034"/>
    <w:rsid w:val="007C01E8"/>
    <w:rsid w:val="007C02C7"/>
    <w:rsid w:val="007C1AC2"/>
    <w:rsid w:val="007C2D55"/>
    <w:rsid w:val="007C4EFB"/>
    <w:rsid w:val="007C5378"/>
    <w:rsid w:val="007C7177"/>
    <w:rsid w:val="007C7A53"/>
    <w:rsid w:val="007C7C34"/>
    <w:rsid w:val="007D4ADF"/>
    <w:rsid w:val="007D5BFE"/>
    <w:rsid w:val="007D61F4"/>
    <w:rsid w:val="007E0DF9"/>
    <w:rsid w:val="007E22E2"/>
    <w:rsid w:val="007E29A4"/>
    <w:rsid w:val="007E2E06"/>
    <w:rsid w:val="007E2F33"/>
    <w:rsid w:val="007E30AF"/>
    <w:rsid w:val="007E44F3"/>
    <w:rsid w:val="007E5A7A"/>
    <w:rsid w:val="007E5E0A"/>
    <w:rsid w:val="007E6515"/>
    <w:rsid w:val="007E6994"/>
    <w:rsid w:val="007F2AD8"/>
    <w:rsid w:val="007F3601"/>
    <w:rsid w:val="007F6C5D"/>
    <w:rsid w:val="007F7274"/>
    <w:rsid w:val="00800049"/>
    <w:rsid w:val="008011C7"/>
    <w:rsid w:val="00803B6F"/>
    <w:rsid w:val="0080415E"/>
    <w:rsid w:val="0080595C"/>
    <w:rsid w:val="00805C9B"/>
    <w:rsid w:val="00805E96"/>
    <w:rsid w:val="0081140F"/>
    <w:rsid w:val="008118EB"/>
    <w:rsid w:val="00811B4F"/>
    <w:rsid w:val="00811F1A"/>
    <w:rsid w:val="0081201F"/>
    <w:rsid w:val="00813556"/>
    <w:rsid w:val="00817032"/>
    <w:rsid w:val="0081790B"/>
    <w:rsid w:val="00820836"/>
    <w:rsid w:val="008221C1"/>
    <w:rsid w:val="008242BD"/>
    <w:rsid w:val="00824BAC"/>
    <w:rsid w:val="00824D3E"/>
    <w:rsid w:val="008269F3"/>
    <w:rsid w:val="00826B4D"/>
    <w:rsid w:val="00830611"/>
    <w:rsid w:val="00830E9C"/>
    <w:rsid w:val="00831497"/>
    <w:rsid w:val="0083160A"/>
    <w:rsid w:val="0083219E"/>
    <w:rsid w:val="00832575"/>
    <w:rsid w:val="0083307C"/>
    <w:rsid w:val="00834273"/>
    <w:rsid w:val="00841255"/>
    <w:rsid w:val="0084238C"/>
    <w:rsid w:val="00843564"/>
    <w:rsid w:val="00843B02"/>
    <w:rsid w:val="00844AC7"/>
    <w:rsid w:val="00844F59"/>
    <w:rsid w:val="008453D3"/>
    <w:rsid w:val="0085058C"/>
    <w:rsid w:val="00851485"/>
    <w:rsid w:val="008514FE"/>
    <w:rsid w:val="00852782"/>
    <w:rsid w:val="00854FB9"/>
    <w:rsid w:val="008601D7"/>
    <w:rsid w:val="00860B7B"/>
    <w:rsid w:val="00862491"/>
    <w:rsid w:val="00862C70"/>
    <w:rsid w:val="00863B53"/>
    <w:rsid w:val="00864B37"/>
    <w:rsid w:val="00867A6A"/>
    <w:rsid w:val="00870BC2"/>
    <w:rsid w:val="00870EA1"/>
    <w:rsid w:val="00873106"/>
    <w:rsid w:val="008732E5"/>
    <w:rsid w:val="00877B7B"/>
    <w:rsid w:val="00881292"/>
    <w:rsid w:val="00883E23"/>
    <w:rsid w:val="00883F9B"/>
    <w:rsid w:val="00890EDA"/>
    <w:rsid w:val="0089192D"/>
    <w:rsid w:val="00897542"/>
    <w:rsid w:val="00897E38"/>
    <w:rsid w:val="008A217B"/>
    <w:rsid w:val="008A2794"/>
    <w:rsid w:val="008A396E"/>
    <w:rsid w:val="008A5726"/>
    <w:rsid w:val="008A716A"/>
    <w:rsid w:val="008B2896"/>
    <w:rsid w:val="008B4916"/>
    <w:rsid w:val="008B4B90"/>
    <w:rsid w:val="008B50B4"/>
    <w:rsid w:val="008B6847"/>
    <w:rsid w:val="008B6D84"/>
    <w:rsid w:val="008C1156"/>
    <w:rsid w:val="008C148F"/>
    <w:rsid w:val="008C6536"/>
    <w:rsid w:val="008C6DC4"/>
    <w:rsid w:val="008D020F"/>
    <w:rsid w:val="008D1762"/>
    <w:rsid w:val="008D2903"/>
    <w:rsid w:val="008D4121"/>
    <w:rsid w:val="008D4CD4"/>
    <w:rsid w:val="008D589C"/>
    <w:rsid w:val="008D5BDF"/>
    <w:rsid w:val="008D7965"/>
    <w:rsid w:val="008D7FDD"/>
    <w:rsid w:val="008E04B4"/>
    <w:rsid w:val="008E0BFA"/>
    <w:rsid w:val="008E1259"/>
    <w:rsid w:val="008E1271"/>
    <w:rsid w:val="008E2491"/>
    <w:rsid w:val="008E24EF"/>
    <w:rsid w:val="008E4908"/>
    <w:rsid w:val="008E581B"/>
    <w:rsid w:val="008E6934"/>
    <w:rsid w:val="008F34E0"/>
    <w:rsid w:val="008F3C7B"/>
    <w:rsid w:val="008F4275"/>
    <w:rsid w:val="008F6FE8"/>
    <w:rsid w:val="008F7152"/>
    <w:rsid w:val="00900239"/>
    <w:rsid w:val="00901112"/>
    <w:rsid w:val="009025FA"/>
    <w:rsid w:val="00902751"/>
    <w:rsid w:val="00902F1E"/>
    <w:rsid w:val="0090540C"/>
    <w:rsid w:val="00905F1B"/>
    <w:rsid w:val="00910D23"/>
    <w:rsid w:val="00915E7E"/>
    <w:rsid w:val="0091719B"/>
    <w:rsid w:val="009172C5"/>
    <w:rsid w:val="00917DCC"/>
    <w:rsid w:val="0092032A"/>
    <w:rsid w:val="00920DB5"/>
    <w:rsid w:val="0092201C"/>
    <w:rsid w:val="009224DB"/>
    <w:rsid w:val="00923C84"/>
    <w:rsid w:val="00924F34"/>
    <w:rsid w:val="009260C7"/>
    <w:rsid w:val="0093017C"/>
    <w:rsid w:val="009302EB"/>
    <w:rsid w:val="00930340"/>
    <w:rsid w:val="009336D6"/>
    <w:rsid w:val="00933AD1"/>
    <w:rsid w:val="00933E56"/>
    <w:rsid w:val="00935752"/>
    <w:rsid w:val="009357B5"/>
    <w:rsid w:val="00942B09"/>
    <w:rsid w:val="009431E3"/>
    <w:rsid w:val="00943265"/>
    <w:rsid w:val="009446F8"/>
    <w:rsid w:val="00944B9B"/>
    <w:rsid w:val="00945245"/>
    <w:rsid w:val="009457FF"/>
    <w:rsid w:val="00953FE9"/>
    <w:rsid w:val="00954178"/>
    <w:rsid w:val="0095498D"/>
    <w:rsid w:val="00955428"/>
    <w:rsid w:val="00955572"/>
    <w:rsid w:val="00955866"/>
    <w:rsid w:val="00955A3F"/>
    <w:rsid w:val="00955ED5"/>
    <w:rsid w:val="00955EED"/>
    <w:rsid w:val="009563A4"/>
    <w:rsid w:val="00956A1E"/>
    <w:rsid w:val="00957349"/>
    <w:rsid w:val="009607CF"/>
    <w:rsid w:val="009610B4"/>
    <w:rsid w:val="009617CF"/>
    <w:rsid w:val="00963E78"/>
    <w:rsid w:val="00964263"/>
    <w:rsid w:val="0096486F"/>
    <w:rsid w:val="0096765B"/>
    <w:rsid w:val="009712F2"/>
    <w:rsid w:val="00972D66"/>
    <w:rsid w:val="009749FC"/>
    <w:rsid w:val="00975A65"/>
    <w:rsid w:val="00975C1A"/>
    <w:rsid w:val="009769F4"/>
    <w:rsid w:val="00976FB3"/>
    <w:rsid w:val="009834D0"/>
    <w:rsid w:val="009844E4"/>
    <w:rsid w:val="009845A0"/>
    <w:rsid w:val="00984E17"/>
    <w:rsid w:val="00985C4B"/>
    <w:rsid w:val="00986AF0"/>
    <w:rsid w:val="00986C3C"/>
    <w:rsid w:val="00990D7A"/>
    <w:rsid w:val="00991181"/>
    <w:rsid w:val="009919F4"/>
    <w:rsid w:val="009942B4"/>
    <w:rsid w:val="00996DF1"/>
    <w:rsid w:val="009A0BD9"/>
    <w:rsid w:val="009A6275"/>
    <w:rsid w:val="009A6564"/>
    <w:rsid w:val="009B16CB"/>
    <w:rsid w:val="009C2114"/>
    <w:rsid w:val="009C29CC"/>
    <w:rsid w:val="009C2FB9"/>
    <w:rsid w:val="009C31BC"/>
    <w:rsid w:val="009C4B6D"/>
    <w:rsid w:val="009C4B7B"/>
    <w:rsid w:val="009C519B"/>
    <w:rsid w:val="009C5977"/>
    <w:rsid w:val="009C7B93"/>
    <w:rsid w:val="009C7BD6"/>
    <w:rsid w:val="009D219E"/>
    <w:rsid w:val="009D2A12"/>
    <w:rsid w:val="009D3102"/>
    <w:rsid w:val="009D3296"/>
    <w:rsid w:val="009D535E"/>
    <w:rsid w:val="009D774A"/>
    <w:rsid w:val="009E13AF"/>
    <w:rsid w:val="009E24F7"/>
    <w:rsid w:val="009E5151"/>
    <w:rsid w:val="009E59B8"/>
    <w:rsid w:val="009E5FF7"/>
    <w:rsid w:val="009E7075"/>
    <w:rsid w:val="009F17CA"/>
    <w:rsid w:val="009F1AAE"/>
    <w:rsid w:val="009F310E"/>
    <w:rsid w:val="009F37AA"/>
    <w:rsid w:val="009F3A2B"/>
    <w:rsid w:val="009F3F14"/>
    <w:rsid w:val="009F509D"/>
    <w:rsid w:val="009F5F7C"/>
    <w:rsid w:val="009F6A23"/>
    <w:rsid w:val="009F6E11"/>
    <w:rsid w:val="00A0065C"/>
    <w:rsid w:val="00A00816"/>
    <w:rsid w:val="00A00F97"/>
    <w:rsid w:val="00A0224F"/>
    <w:rsid w:val="00A02D5D"/>
    <w:rsid w:val="00A07EE8"/>
    <w:rsid w:val="00A102F6"/>
    <w:rsid w:val="00A10472"/>
    <w:rsid w:val="00A1125E"/>
    <w:rsid w:val="00A12A16"/>
    <w:rsid w:val="00A13031"/>
    <w:rsid w:val="00A1412E"/>
    <w:rsid w:val="00A14DAF"/>
    <w:rsid w:val="00A15078"/>
    <w:rsid w:val="00A16958"/>
    <w:rsid w:val="00A21118"/>
    <w:rsid w:val="00A22A03"/>
    <w:rsid w:val="00A23DB9"/>
    <w:rsid w:val="00A25198"/>
    <w:rsid w:val="00A2634B"/>
    <w:rsid w:val="00A26BA6"/>
    <w:rsid w:val="00A274B8"/>
    <w:rsid w:val="00A3064A"/>
    <w:rsid w:val="00A3112D"/>
    <w:rsid w:val="00A32DED"/>
    <w:rsid w:val="00A33F50"/>
    <w:rsid w:val="00A34633"/>
    <w:rsid w:val="00A368D3"/>
    <w:rsid w:val="00A43027"/>
    <w:rsid w:val="00A4445B"/>
    <w:rsid w:val="00A46DE7"/>
    <w:rsid w:val="00A47B7E"/>
    <w:rsid w:val="00A50BD9"/>
    <w:rsid w:val="00A53465"/>
    <w:rsid w:val="00A57593"/>
    <w:rsid w:val="00A61729"/>
    <w:rsid w:val="00A6372A"/>
    <w:rsid w:val="00A64844"/>
    <w:rsid w:val="00A66E97"/>
    <w:rsid w:val="00A70D0A"/>
    <w:rsid w:val="00A72B6E"/>
    <w:rsid w:val="00A74F37"/>
    <w:rsid w:val="00A75ECC"/>
    <w:rsid w:val="00A80562"/>
    <w:rsid w:val="00A808EE"/>
    <w:rsid w:val="00A80ECD"/>
    <w:rsid w:val="00A818CC"/>
    <w:rsid w:val="00A82F78"/>
    <w:rsid w:val="00A84140"/>
    <w:rsid w:val="00A8481E"/>
    <w:rsid w:val="00A84DDF"/>
    <w:rsid w:val="00A85430"/>
    <w:rsid w:val="00A85970"/>
    <w:rsid w:val="00A8652F"/>
    <w:rsid w:val="00A866C3"/>
    <w:rsid w:val="00A86787"/>
    <w:rsid w:val="00A9029C"/>
    <w:rsid w:val="00A9059A"/>
    <w:rsid w:val="00A9268B"/>
    <w:rsid w:val="00A92C4B"/>
    <w:rsid w:val="00A93641"/>
    <w:rsid w:val="00A96DD6"/>
    <w:rsid w:val="00AA059A"/>
    <w:rsid w:val="00AA2E46"/>
    <w:rsid w:val="00AA3C9D"/>
    <w:rsid w:val="00AA45B1"/>
    <w:rsid w:val="00AA45C7"/>
    <w:rsid w:val="00AA503F"/>
    <w:rsid w:val="00AA57B4"/>
    <w:rsid w:val="00AA61E7"/>
    <w:rsid w:val="00AA6DE5"/>
    <w:rsid w:val="00AA7B31"/>
    <w:rsid w:val="00AA7C5D"/>
    <w:rsid w:val="00AB0D13"/>
    <w:rsid w:val="00AB1767"/>
    <w:rsid w:val="00AB2F1B"/>
    <w:rsid w:val="00AB4075"/>
    <w:rsid w:val="00AB4A99"/>
    <w:rsid w:val="00AB52F7"/>
    <w:rsid w:val="00AB56FC"/>
    <w:rsid w:val="00AB7EA4"/>
    <w:rsid w:val="00AC13FF"/>
    <w:rsid w:val="00AC336C"/>
    <w:rsid w:val="00AC6127"/>
    <w:rsid w:val="00AC62A9"/>
    <w:rsid w:val="00AD2445"/>
    <w:rsid w:val="00AD2563"/>
    <w:rsid w:val="00AD27F9"/>
    <w:rsid w:val="00AD3047"/>
    <w:rsid w:val="00AD5418"/>
    <w:rsid w:val="00AD547C"/>
    <w:rsid w:val="00AE0195"/>
    <w:rsid w:val="00AE1C7A"/>
    <w:rsid w:val="00AE2147"/>
    <w:rsid w:val="00AE57C7"/>
    <w:rsid w:val="00AE6BE6"/>
    <w:rsid w:val="00AE72B5"/>
    <w:rsid w:val="00AF0CE2"/>
    <w:rsid w:val="00AF0EB4"/>
    <w:rsid w:val="00AF361A"/>
    <w:rsid w:val="00AF410B"/>
    <w:rsid w:val="00AF6A9B"/>
    <w:rsid w:val="00AF7AA2"/>
    <w:rsid w:val="00B03680"/>
    <w:rsid w:val="00B0502A"/>
    <w:rsid w:val="00B0692F"/>
    <w:rsid w:val="00B07F98"/>
    <w:rsid w:val="00B10EA2"/>
    <w:rsid w:val="00B11FCD"/>
    <w:rsid w:val="00B1327F"/>
    <w:rsid w:val="00B16ADF"/>
    <w:rsid w:val="00B17D5A"/>
    <w:rsid w:val="00B23533"/>
    <w:rsid w:val="00B24FF4"/>
    <w:rsid w:val="00B253B0"/>
    <w:rsid w:val="00B258DC"/>
    <w:rsid w:val="00B26568"/>
    <w:rsid w:val="00B26A22"/>
    <w:rsid w:val="00B26EC9"/>
    <w:rsid w:val="00B320E3"/>
    <w:rsid w:val="00B3291D"/>
    <w:rsid w:val="00B37085"/>
    <w:rsid w:val="00B37917"/>
    <w:rsid w:val="00B37942"/>
    <w:rsid w:val="00B41AEE"/>
    <w:rsid w:val="00B429D4"/>
    <w:rsid w:val="00B43947"/>
    <w:rsid w:val="00B43F08"/>
    <w:rsid w:val="00B527C5"/>
    <w:rsid w:val="00B52CDD"/>
    <w:rsid w:val="00B53342"/>
    <w:rsid w:val="00B538C2"/>
    <w:rsid w:val="00B545FA"/>
    <w:rsid w:val="00B56952"/>
    <w:rsid w:val="00B57330"/>
    <w:rsid w:val="00B642F3"/>
    <w:rsid w:val="00B66016"/>
    <w:rsid w:val="00B66C05"/>
    <w:rsid w:val="00B675E6"/>
    <w:rsid w:val="00B717A9"/>
    <w:rsid w:val="00B7210B"/>
    <w:rsid w:val="00B742D8"/>
    <w:rsid w:val="00B74A3F"/>
    <w:rsid w:val="00B762DC"/>
    <w:rsid w:val="00B77CBC"/>
    <w:rsid w:val="00B8111B"/>
    <w:rsid w:val="00B817D9"/>
    <w:rsid w:val="00B81860"/>
    <w:rsid w:val="00B83A22"/>
    <w:rsid w:val="00B8456C"/>
    <w:rsid w:val="00B84760"/>
    <w:rsid w:val="00B86AF5"/>
    <w:rsid w:val="00B86CA4"/>
    <w:rsid w:val="00B918B4"/>
    <w:rsid w:val="00B92A0D"/>
    <w:rsid w:val="00B9318B"/>
    <w:rsid w:val="00B941DC"/>
    <w:rsid w:val="00B94CB9"/>
    <w:rsid w:val="00B976B6"/>
    <w:rsid w:val="00BA01D8"/>
    <w:rsid w:val="00BA273A"/>
    <w:rsid w:val="00BA3063"/>
    <w:rsid w:val="00BA4865"/>
    <w:rsid w:val="00BA5391"/>
    <w:rsid w:val="00BA539B"/>
    <w:rsid w:val="00BA6C24"/>
    <w:rsid w:val="00BB009E"/>
    <w:rsid w:val="00BB3021"/>
    <w:rsid w:val="00BB4C85"/>
    <w:rsid w:val="00BB54A3"/>
    <w:rsid w:val="00BB639F"/>
    <w:rsid w:val="00BB705C"/>
    <w:rsid w:val="00BB7DFD"/>
    <w:rsid w:val="00BC0689"/>
    <w:rsid w:val="00BC1E0D"/>
    <w:rsid w:val="00BC5A20"/>
    <w:rsid w:val="00BD2164"/>
    <w:rsid w:val="00BD3043"/>
    <w:rsid w:val="00BD46CC"/>
    <w:rsid w:val="00BD4725"/>
    <w:rsid w:val="00BD4988"/>
    <w:rsid w:val="00BD6608"/>
    <w:rsid w:val="00BD791B"/>
    <w:rsid w:val="00BE0587"/>
    <w:rsid w:val="00BE18B6"/>
    <w:rsid w:val="00BE2724"/>
    <w:rsid w:val="00BE47F2"/>
    <w:rsid w:val="00BE7D2E"/>
    <w:rsid w:val="00BF0A86"/>
    <w:rsid w:val="00BF12E6"/>
    <w:rsid w:val="00BF3C8D"/>
    <w:rsid w:val="00BF4C19"/>
    <w:rsid w:val="00BF513F"/>
    <w:rsid w:val="00BF570B"/>
    <w:rsid w:val="00BF60BF"/>
    <w:rsid w:val="00BF639D"/>
    <w:rsid w:val="00C02696"/>
    <w:rsid w:val="00C02A2D"/>
    <w:rsid w:val="00C03E23"/>
    <w:rsid w:val="00C04067"/>
    <w:rsid w:val="00C061C4"/>
    <w:rsid w:val="00C06E8D"/>
    <w:rsid w:val="00C1258D"/>
    <w:rsid w:val="00C16626"/>
    <w:rsid w:val="00C16A61"/>
    <w:rsid w:val="00C17828"/>
    <w:rsid w:val="00C17FB0"/>
    <w:rsid w:val="00C214D8"/>
    <w:rsid w:val="00C22316"/>
    <w:rsid w:val="00C2385E"/>
    <w:rsid w:val="00C243A0"/>
    <w:rsid w:val="00C24BAA"/>
    <w:rsid w:val="00C24E42"/>
    <w:rsid w:val="00C26F70"/>
    <w:rsid w:val="00C273E4"/>
    <w:rsid w:val="00C27B5F"/>
    <w:rsid w:val="00C30B57"/>
    <w:rsid w:val="00C31FDF"/>
    <w:rsid w:val="00C32DA6"/>
    <w:rsid w:val="00C34888"/>
    <w:rsid w:val="00C35087"/>
    <w:rsid w:val="00C366BF"/>
    <w:rsid w:val="00C36BF3"/>
    <w:rsid w:val="00C36FA9"/>
    <w:rsid w:val="00C371D6"/>
    <w:rsid w:val="00C40EC3"/>
    <w:rsid w:val="00C444F4"/>
    <w:rsid w:val="00C47A75"/>
    <w:rsid w:val="00C518FB"/>
    <w:rsid w:val="00C51A2C"/>
    <w:rsid w:val="00C5704F"/>
    <w:rsid w:val="00C61237"/>
    <w:rsid w:val="00C614B0"/>
    <w:rsid w:val="00C62B75"/>
    <w:rsid w:val="00C63E62"/>
    <w:rsid w:val="00C71184"/>
    <w:rsid w:val="00C75207"/>
    <w:rsid w:val="00C75851"/>
    <w:rsid w:val="00C7720C"/>
    <w:rsid w:val="00C7776E"/>
    <w:rsid w:val="00C777B2"/>
    <w:rsid w:val="00C778BE"/>
    <w:rsid w:val="00C77EC8"/>
    <w:rsid w:val="00C836D1"/>
    <w:rsid w:val="00C90BEE"/>
    <w:rsid w:val="00C92BB0"/>
    <w:rsid w:val="00C92D7C"/>
    <w:rsid w:val="00C9485E"/>
    <w:rsid w:val="00C94F86"/>
    <w:rsid w:val="00CA0F52"/>
    <w:rsid w:val="00CA127F"/>
    <w:rsid w:val="00CA1815"/>
    <w:rsid w:val="00CA28E5"/>
    <w:rsid w:val="00CA291F"/>
    <w:rsid w:val="00CA431E"/>
    <w:rsid w:val="00CA4E46"/>
    <w:rsid w:val="00CA7590"/>
    <w:rsid w:val="00CB235F"/>
    <w:rsid w:val="00CB5CAC"/>
    <w:rsid w:val="00CB66D5"/>
    <w:rsid w:val="00CC08CD"/>
    <w:rsid w:val="00CC1AAA"/>
    <w:rsid w:val="00CC1FD7"/>
    <w:rsid w:val="00CC2E93"/>
    <w:rsid w:val="00CC50C6"/>
    <w:rsid w:val="00CC58A1"/>
    <w:rsid w:val="00CC6B26"/>
    <w:rsid w:val="00CD0C37"/>
    <w:rsid w:val="00CD3823"/>
    <w:rsid w:val="00CD3DAF"/>
    <w:rsid w:val="00CD3E4D"/>
    <w:rsid w:val="00CD55AD"/>
    <w:rsid w:val="00CE0835"/>
    <w:rsid w:val="00CE123F"/>
    <w:rsid w:val="00CE1276"/>
    <w:rsid w:val="00CE257B"/>
    <w:rsid w:val="00CE4C09"/>
    <w:rsid w:val="00CE5302"/>
    <w:rsid w:val="00CE5811"/>
    <w:rsid w:val="00CF0FBA"/>
    <w:rsid w:val="00CF1E54"/>
    <w:rsid w:val="00CF2657"/>
    <w:rsid w:val="00CF4976"/>
    <w:rsid w:val="00CF52A8"/>
    <w:rsid w:val="00CF5B1B"/>
    <w:rsid w:val="00CF5CDC"/>
    <w:rsid w:val="00D026DD"/>
    <w:rsid w:val="00D02CA4"/>
    <w:rsid w:val="00D037DF"/>
    <w:rsid w:val="00D04CB1"/>
    <w:rsid w:val="00D05357"/>
    <w:rsid w:val="00D053C5"/>
    <w:rsid w:val="00D11199"/>
    <w:rsid w:val="00D11364"/>
    <w:rsid w:val="00D12CA2"/>
    <w:rsid w:val="00D139B7"/>
    <w:rsid w:val="00D14B2A"/>
    <w:rsid w:val="00D14C2E"/>
    <w:rsid w:val="00D161F2"/>
    <w:rsid w:val="00D2002E"/>
    <w:rsid w:val="00D21D55"/>
    <w:rsid w:val="00D248FE"/>
    <w:rsid w:val="00D258D3"/>
    <w:rsid w:val="00D265C4"/>
    <w:rsid w:val="00D274C6"/>
    <w:rsid w:val="00D306F3"/>
    <w:rsid w:val="00D3072C"/>
    <w:rsid w:val="00D31D33"/>
    <w:rsid w:val="00D32786"/>
    <w:rsid w:val="00D329C6"/>
    <w:rsid w:val="00D33649"/>
    <w:rsid w:val="00D3462C"/>
    <w:rsid w:val="00D3496D"/>
    <w:rsid w:val="00D3513C"/>
    <w:rsid w:val="00D3683F"/>
    <w:rsid w:val="00D36AF0"/>
    <w:rsid w:val="00D37272"/>
    <w:rsid w:val="00D41262"/>
    <w:rsid w:val="00D41575"/>
    <w:rsid w:val="00D45BFA"/>
    <w:rsid w:val="00D45D78"/>
    <w:rsid w:val="00D46035"/>
    <w:rsid w:val="00D46213"/>
    <w:rsid w:val="00D4622D"/>
    <w:rsid w:val="00D47D9F"/>
    <w:rsid w:val="00D500FF"/>
    <w:rsid w:val="00D506AA"/>
    <w:rsid w:val="00D514B4"/>
    <w:rsid w:val="00D52A9C"/>
    <w:rsid w:val="00D57845"/>
    <w:rsid w:val="00D61E0D"/>
    <w:rsid w:val="00D61FB9"/>
    <w:rsid w:val="00D6210D"/>
    <w:rsid w:val="00D673D0"/>
    <w:rsid w:val="00D7102A"/>
    <w:rsid w:val="00D71EAC"/>
    <w:rsid w:val="00D72ABA"/>
    <w:rsid w:val="00D73645"/>
    <w:rsid w:val="00D743AB"/>
    <w:rsid w:val="00D768EF"/>
    <w:rsid w:val="00D7705D"/>
    <w:rsid w:val="00D80E45"/>
    <w:rsid w:val="00D82DCE"/>
    <w:rsid w:val="00D851CA"/>
    <w:rsid w:val="00D856E3"/>
    <w:rsid w:val="00D86560"/>
    <w:rsid w:val="00D87E22"/>
    <w:rsid w:val="00D90369"/>
    <w:rsid w:val="00D904DB"/>
    <w:rsid w:val="00D9116D"/>
    <w:rsid w:val="00D91485"/>
    <w:rsid w:val="00D929B8"/>
    <w:rsid w:val="00D95546"/>
    <w:rsid w:val="00D9749F"/>
    <w:rsid w:val="00DA25A3"/>
    <w:rsid w:val="00DA41B9"/>
    <w:rsid w:val="00DA5091"/>
    <w:rsid w:val="00DA5DD3"/>
    <w:rsid w:val="00DA5FC8"/>
    <w:rsid w:val="00DA62E2"/>
    <w:rsid w:val="00DA64F5"/>
    <w:rsid w:val="00DA7242"/>
    <w:rsid w:val="00DB0D0A"/>
    <w:rsid w:val="00DB248A"/>
    <w:rsid w:val="00DB2ACD"/>
    <w:rsid w:val="00DB520F"/>
    <w:rsid w:val="00DC034B"/>
    <w:rsid w:val="00DC0452"/>
    <w:rsid w:val="00DC3B28"/>
    <w:rsid w:val="00DC3E74"/>
    <w:rsid w:val="00DC3EA1"/>
    <w:rsid w:val="00DC4FBC"/>
    <w:rsid w:val="00DC7F0A"/>
    <w:rsid w:val="00DD7E51"/>
    <w:rsid w:val="00DE21C2"/>
    <w:rsid w:val="00DE3B9C"/>
    <w:rsid w:val="00DE4282"/>
    <w:rsid w:val="00DE55BF"/>
    <w:rsid w:val="00DF0561"/>
    <w:rsid w:val="00DF0E62"/>
    <w:rsid w:val="00DF198C"/>
    <w:rsid w:val="00DF1DA1"/>
    <w:rsid w:val="00DF2266"/>
    <w:rsid w:val="00DF23CF"/>
    <w:rsid w:val="00DF3D42"/>
    <w:rsid w:val="00DF5E00"/>
    <w:rsid w:val="00E00A6A"/>
    <w:rsid w:val="00E02C50"/>
    <w:rsid w:val="00E0305D"/>
    <w:rsid w:val="00E079BA"/>
    <w:rsid w:val="00E10827"/>
    <w:rsid w:val="00E11BFD"/>
    <w:rsid w:val="00E11EB7"/>
    <w:rsid w:val="00E12ED5"/>
    <w:rsid w:val="00E1373B"/>
    <w:rsid w:val="00E14165"/>
    <w:rsid w:val="00E15940"/>
    <w:rsid w:val="00E164C2"/>
    <w:rsid w:val="00E17442"/>
    <w:rsid w:val="00E17571"/>
    <w:rsid w:val="00E2032A"/>
    <w:rsid w:val="00E206AA"/>
    <w:rsid w:val="00E2091C"/>
    <w:rsid w:val="00E2149E"/>
    <w:rsid w:val="00E218B5"/>
    <w:rsid w:val="00E22EE7"/>
    <w:rsid w:val="00E24C11"/>
    <w:rsid w:val="00E2551A"/>
    <w:rsid w:val="00E25875"/>
    <w:rsid w:val="00E25959"/>
    <w:rsid w:val="00E266EB"/>
    <w:rsid w:val="00E26EBF"/>
    <w:rsid w:val="00E273FB"/>
    <w:rsid w:val="00E31F04"/>
    <w:rsid w:val="00E32A9C"/>
    <w:rsid w:val="00E333B2"/>
    <w:rsid w:val="00E3545D"/>
    <w:rsid w:val="00E35B70"/>
    <w:rsid w:val="00E363BE"/>
    <w:rsid w:val="00E40C02"/>
    <w:rsid w:val="00E432CC"/>
    <w:rsid w:val="00E44609"/>
    <w:rsid w:val="00E458D7"/>
    <w:rsid w:val="00E466CD"/>
    <w:rsid w:val="00E4703E"/>
    <w:rsid w:val="00E474C5"/>
    <w:rsid w:val="00E47B3D"/>
    <w:rsid w:val="00E5037B"/>
    <w:rsid w:val="00E5101D"/>
    <w:rsid w:val="00E5600F"/>
    <w:rsid w:val="00E562F0"/>
    <w:rsid w:val="00E57DD2"/>
    <w:rsid w:val="00E60108"/>
    <w:rsid w:val="00E6089B"/>
    <w:rsid w:val="00E636FB"/>
    <w:rsid w:val="00E63E81"/>
    <w:rsid w:val="00E6464C"/>
    <w:rsid w:val="00E66FA6"/>
    <w:rsid w:val="00E71B6C"/>
    <w:rsid w:val="00E732E0"/>
    <w:rsid w:val="00E737BB"/>
    <w:rsid w:val="00E75B04"/>
    <w:rsid w:val="00E77A63"/>
    <w:rsid w:val="00E80253"/>
    <w:rsid w:val="00E819B5"/>
    <w:rsid w:val="00E827F5"/>
    <w:rsid w:val="00E828AA"/>
    <w:rsid w:val="00E904A3"/>
    <w:rsid w:val="00E919CB"/>
    <w:rsid w:val="00E9272F"/>
    <w:rsid w:val="00E92DD4"/>
    <w:rsid w:val="00E93238"/>
    <w:rsid w:val="00E93331"/>
    <w:rsid w:val="00E957F0"/>
    <w:rsid w:val="00EA0252"/>
    <w:rsid w:val="00EA269E"/>
    <w:rsid w:val="00EA2FAD"/>
    <w:rsid w:val="00EA2FB7"/>
    <w:rsid w:val="00EA4051"/>
    <w:rsid w:val="00EA40F8"/>
    <w:rsid w:val="00EB06A1"/>
    <w:rsid w:val="00EB0D48"/>
    <w:rsid w:val="00EB0F2D"/>
    <w:rsid w:val="00EB14A0"/>
    <w:rsid w:val="00EB1D6F"/>
    <w:rsid w:val="00EB1E51"/>
    <w:rsid w:val="00EB4439"/>
    <w:rsid w:val="00EB531E"/>
    <w:rsid w:val="00EC02DC"/>
    <w:rsid w:val="00EC0EAA"/>
    <w:rsid w:val="00EC25CD"/>
    <w:rsid w:val="00EC748E"/>
    <w:rsid w:val="00ED1282"/>
    <w:rsid w:val="00ED288D"/>
    <w:rsid w:val="00ED2F67"/>
    <w:rsid w:val="00ED4353"/>
    <w:rsid w:val="00ED435C"/>
    <w:rsid w:val="00ED7D6C"/>
    <w:rsid w:val="00EE0089"/>
    <w:rsid w:val="00EE1173"/>
    <w:rsid w:val="00EE465C"/>
    <w:rsid w:val="00EE4E07"/>
    <w:rsid w:val="00EE5B2E"/>
    <w:rsid w:val="00EE60FF"/>
    <w:rsid w:val="00EE6617"/>
    <w:rsid w:val="00EE75E0"/>
    <w:rsid w:val="00EF0E1B"/>
    <w:rsid w:val="00EF3B65"/>
    <w:rsid w:val="00EF41D6"/>
    <w:rsid w:val="00EF49A2"/>
    <w:rsid w:val="00EF4CF1"/>
    <w:rsid w:val="00EF5EA8"/>
    <w:rsid w:val="00EF6555"/>
    <w:rsid w:val="00EF6577"/>
    <w:rsid w:val="00F00686"/>
    <w:rsid w:val="00F018AA"/>
    <w:rsid w:val="00F03216"/>
    <w:rsid w:val="00F058DA"/>
    <w:rsid w:val="00F05CC6"/>
    <w:rsid w:val="00F05EBF"/>
    <w:rsid w:val="00F0667B"/>
    <w:rsid w:val="00F06B89"/>
    <w:rsid w:val="00F07B9F"/>
    <w:rsid w:val="00F11271"/>
    <w:rsid w:val="00F12833"/>
    <w:rsid w:val="00F153CD"/>
    <w:rsid w:val="00F16507"/>
    <w:rsid w:val="00F16EB3"/>
    <w:rsid w:val="00F20E62"/>
    <w:rsid w:val="00F210BA"/>
    <w:rsid w:val="00F21EE0"/>
    <w:rsid w:val="00F2331D"/>
    <w:rsid w:val="00F2359E"/>
    <w:rsid w:val="00F25132"/>
    <w:rsid w:val="00F26F8A"/>
    <w:rsid w:val="00F31A20"/>
    <w:rsid w:val="00F31B67"/>
    <w:rsid w:val="00F3306A"/>
    <w:rsid w:val="00F336CC"/>
    <w:rsid w:val="00F33A23"/>
    <w:rsid w:val="00F40889"/>
    <w:rsid w:val="00F40B0A"/>
    <w:rsid w:val="00F41FE0"/>
    <w:rsid w:val="00F44C10"/>
    <w:rsid w:val="00F44C80"/>
    <w:rsid w:val="00F4784F"/>
    <w:rsid w:val="00F51DE3"/>
    <w:rsid w:val="00F52403"/>
    <w:rsid w:val="00F527DA"/>
    <w:rsid w:val="00F53652"/>
    <w:rsid w:val="00F538CC"/>
    <w:rsid w:val="00F547C9"/>
    <w:rsid w:val="00F552B7"/>
    <w:rsid w:val="00F56233"/>
    <w:rsid w:val="00F612B1"/>
    <w:rsid w:val="00F62045"/>
    <w:rsid w:val="00F650CE"/>
    <w:rsid w:val="00F65A15"/>
    <w:rsid w:val="00F661D9"/>
    <w:rsid w:val="00F6650D"/>
    <w:rsid w:val="00F66919"/>
    <w:rsid w:val="00F70E45"/>
    <w:rsid w:val="00F713C9"/>
    <w:rsid w:val="00F7148D"/>
    <w:rsid w:val="00F716C1"/>
    <w:rsid w:val="00F719D9"/>
    <w:rsid w:val="00F73BBA"/>
    <w:rsid w:val="00F74005"/>
    <w:rsid w:val="00F76BD3"/>
    <w:rsid w:val="00F76C24"/>
    <w:rsid w:val="00F808BA"/>
    <w:rsid w:val="00F80AD3"/>
    <w:rsid w:val="00F83FA6"/>
    <w:rsid w:val="00F84057"/>
    <w:rsid w:val="00F84818"/>
    <w:rsid w:val="00F849A8"/>
    <w:rsid w:val="00F85318"/>
    <w:rsid w:val="00F854F5"/>
    <w:rsid w:val="00F85E0D"/>
    <w:rsid w:val="00F86FCD"/>
    <w:rsid w:val="00F878CD"/>
    <w:rsid w:val="00F87BCC"/>
    <w:rsid w:val="00F90BBE"/>
    <w:rsid w:val="00F91D2B"/>
    <w:rsid w:val="00F92E41"/>
    <w:rsid w:val="00F934CF"/>
    <w:rsid w:val="00F93DE0"/>
    <w:rsid w:val="00F974BC"/>
    <w:rsid w:val="00FA0949"/>
    <w:rsid w:val="00FA0D33"/>
    <w:rsid w:val="00FA0D46"/>
    <w:rsid w:val="00FA442C"/>
    <w:rsid w:val="00FA477E"/>
    <w:rsid w:val="00FA6F25"/>
    <w:rsid w:val="00FA758D"/>
    <w:rsid w:val="00FB353F"/>
    <w:rsid w:val="00FB3DF1"/>
    <w:rsid w:val="00FB4E9D"/>
    <w:rsid w:val="00FB74C2"/>
    <w:rsid w:val="00FC0644"/>
    <w:rsid w:val="00FC0F2A"/>
    <w:rsid w:val="00FC276E"/>
    <w:rsid w:val="00FC378C"/>
    <w:rsid w:val="00FC3D81"/>
    <w:rsid w:val="00FC4700"/>
    <w:rsid w:val="00FD0182"/>
    <w:rsid w:val="00FD34C3"/>
    <w:rsid w:val="00FD697C"/>
    <w:rsid w:val="00FD6AE8"/>
    <w:rsid w:val="00FE031B"/>
    <w:rsid w:val="00FE048B"/>
    <w:rsid w:val="00FE0862"/>
    <w:rsid w:val="00FE3E9A"/>
    <w:rsid w:val="00FE4A93"/>
    <w:rsid w:val="00FE59D7"/>
    <w:rsid w:val="00FF1DFA"/>
    <w:rsid w:val="00FF30E3"/>
    <w:rsid w:val="00FF32EF"/>
    <w:rsid w:val="00FF37A3"/>
    <w:rsid w:val="00FF505A"/>
    <w:rsid w:val="00FF642F"/>
    <w:rsid w:val="07617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0BEBE5"/>
  <w15:chartTrackingRefBased/>
  <w15:docId w15:val="{24907A94-E769-4E93-B2DE-E2D8DA93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E62"/>
    <w:pPr>
      <w:keepNext/>
      <w:keepLines/>
      <w:spacing w:before="240" w:after="0"/>
      <w:outlineLvl w:val="0"/>
    </w:pPr>
    <w:rPr>
      <w:rFonts w:ascii="Calibri" w:eastAsiaTheme="majorEastAsia" w:hAnsi="Calibri" w:cstheme="majorBidi"/>
      <w:b/>
      <w:caps/>
      <w:color w:val="000000" w:themeColor="text1"/>
      <w:sz w:val="24"/>
      <w:szCs w:val="32"/>
    </w:rPr>
  </w:style>
  <w:style w:type="paragraph" w:styleId="Heading2">
    <w:name w:val="heading 2"/>
    <w:basedOn w:val="Normal"/>
    <w:next w:val="Normal"/>
    <w:link w:val="Heading2Char"/>
    <w:uiPriority w:val="9"/>
    <w:unhideWhenUsed/>
    <w:qFormat/>
    <w:rsid w:val="00A57593"/>
    <w:pPr>
      <w:keepNext/>
      <w:keepLines/>
      <w:spacing w:before="40" w:after="0"/>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D61FB9"/>
    <w:pPr>
      <w:keepNext/>
      <w:keepLines/>
      <w:spacing w:before="120" w:after="12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EB"/>
    <w:pPr>
      <w:spacing w:before="40"/>
      <w:ind w:left="720"/>
      <w:contextualSpacing/>
    </w:pPr>
  </w:style>
  <w:style w:type="paragraph" w:styleId="FootnoteText">
    <w:name w:val="footnote text"/>
    <w:basedOn w:val="Normal"/>
    <w:link w:val="FootnoteTextChar"/>
    <w:uiPriority w:val="99"/>
    <w:semiHidden/>
    <w:unhideWhenUsed/>
    <w:rsid w:val="0042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C99"/>
    <w:rPr>
      <w:sz w:val="20"/>
      <w:szCs w:val="20"/>
    </w:rPr>
  </w:style>
  <w:style w:type="character" w:styleId="FootnoteReference">
    <w:name w:val="footnote reference"/>
    <w:basedOn w:val="DefaultParagraphFont"/>
    <w:uiPriority w:val="99"/>
    <w:semiHidden/>
    <w:unhideWhenUsed/>
    <w:rsid w:val="00424C99"/>
    <w:rPr>
      <w:vertAlign w:val="superscript"/>
    </w:rPr>
  </w:style>
  <w:style w:type="character" w:styleId="Hyperlink">
    <w:name w:val="Hyperlink"/>
    <w:basedOn w:val="DefaultParagraphFont"/>
    <w:uiPriority w:val="99"/>
    <w:unhideWhenUsed/>
    <w:rsid w:val="00424C99"/>
    <w:rPr>
      <w:color w:val="0563C1" w:themeColor="hyperlink"/>
      <w:u w:val="single"/>
    </w:rPr>
  </w:style>
  <w:style w:type="character" w:customStyle="1" w:styleId="Heading1Char">
    <w:name w:val="Heading 1 Char"/>
    <w:basedOn w:val="DefaultParagraphFont"/>
    <w:link w:val="Heading1"/>
    <w:uiPriority w:val="9"/>
    <w:rsid w:val="00F20E62"/>
    <w:rPr>
      <w:rFonts w:ascii="Calibri" w:eastAsiaTheme="majorEastAsia" w:hAnsi="Calibri" w:cstheme="majorBidi"/>
      <w:b/>
      <w:caps/>
      <w:color w:val="000000" w:themeColor="text1"/>
      <w:sz w:val="24"/>
      <w:szCs w:val="32"/>
    </w:rPr>
  </w:style>
  <w:style w:type="paragraph" w:styleId="Header">
    <w:name w:val="header"/>
    <w:basedOn w:val="Normal"/>
    <w:link w:val="HeaderChar"/>
    <w:uiPriority w:val="99"/>
    <w:unhideWhenUsed/>
    <w:rsid w:val="00F2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E62"/>
  </w:style>
  <w:style w:type="paragraph" w:styleId="Footer">
    <w:name w:val="footer"/>
    <w:basedOn w:val="Normal"/>
    <w:link w:val="FooterChar"/>
    <w:uiPriority w:val="99"/>
    <w:unhideWhenUsed/>
    <w:rsid w:val="00F2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E62"/>
  </w:style>
  <w:style w:type="character" w:customStyle="1" w:styleId="Heading2Char">
    <w:name w:val="Heading 2 Char"/>
    <w:basedOn w:val="DefaultParagraphFont"/>
    <w:link w:val="Heading2"/>
    <w:uiPriority w:val="9"/>
    <w:rsid w:val="00A57593"/>
    <w:rPr>
      <w:rFonts w:eastAsiaTheme="majorEastAsia" w:cstheme="majorBidi"/>
      <w:b/>
      <w:i/>
      <w:sz w:val="24"/>
      <w:szCs w:val="26"/>
    </w:rPr>
  </w:style>
  <w:style w:type="table" w:styleId="TableGrid">
    <w:name w:val="Table Grid"/>
    <w:basedOn w:val="TableNormal"/>
    <w:uiPriority w:val="39"/>
    <w:rsid w:val="001A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818"/>
    <w:rPr>
      <w:sz w:val="16"/>
      <w:szCs w:val="16"/>
    </w:rPr>
  </w:style>
  <w:style w:type="paragraph" w:styleId="CommentText">
    <w:name w:val="annotation text"/>
    <w:basedOn w:val="Normal"/>
    <w:link w:val="CommentTextChar"/>
    <w:uiPriority w:val="99"/>
    <w:semiHidden/>
    <w:unhideWhenUsed/>
    <w:rsid w:val="00F84818"/>
    <w:pPr>
      <w:spacing w:line="240" w:lineRule="auto"/>
    </w:pPr>
    <w:rPr>
      <w:sz w:val="20"/>
      <w:szCs w:val="20"/>
    </w:rPr>
  </w:style>
  <w:style w:type="character" w:customStyle="1" w:styleId="CommentTextChar">
    <w:name w:val="Comment Text Char"/>
    <w:basedOn w:val="DefaultParagraphFont"/>
    <w:link w:val="CommentText"/>
    <w:uiPriority w:val="99"/>
    <w:semiHidden/>
    <w:rsid w:val="00F84818"/>
    <w:rPr>
      <w:sz w:val="20"/>
      <w:szCs w:val="20"/>
    </w:rPr>
  </w:style>
  <w:style w:type="paragraph" w:styleId="CommentSubject">
    <w:name w:val="annotation subject"/>
    <w:basedOn w:val="CommentText"/>
    <w:next w:val="CommentText"/>
    <w:link w:val="CommentSubjectChar"/>
    <w:uiPriority w:val="99"/>
    <w:semiHidden/>
    <w:unhideWhenUsed/>
    <w:rsid w:val="00F84818"/>
    <w:rPr>
      <w:b/>
      <w:bCs/>
    </w:rPr>
  </w:style>
  <w:style w:type="character" w:customStyle="1" w:styleId="CommentSubjectChar">
    <w:name w:val="Comment Subject Char"/>
    <w:basedOn w:val="CommentTextChar"/>
    <w:link w:val="CommentSubject"/>
    <w:uiPriority w:val="99"/>
    <w:semiHidden/>
    <w:rsid w:val="00F84818"/>
    <w:rPr>
      <w:b/>
      <w:bCs/>
      <w:sz w:val="20"/>
      <w:szCs w:val="20"/>
    </w:rPr>
  </w:style>
  <w:style w:type="paragraph" w:styleId="BalloonText">
    <w:name w:val="Balloon Text"/>
    <w:basedOn w:val="Normal"/>
    <w:link w:val="BalloonTextChar"/>
    <w:uiPriority w:val="99"/>
    <w:semiHidden/>
    <w:unhideWhenUsed/>
    <w:rsid w:val="00F84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18"/>
    <w:rPr>
      <w:rFonts w:ascii="Segoe UI" w:hAnsi="Segoe UI" w:cs="Segoe UI"/>
      <w:sz w:val="18"/>
      <w:szCs w:val="18"/>
    </w:rPr>
  </w:style>
  <w:style w:type="paragraph" w:customStyle="1" w:styleId="Default">
    <w:name w:val="Default"/>
    <w:rsid w:val="006F371C"/>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9"/>
    <w:rsid w:val="00D61FB9"/>
    <w:rPr>
      <w:rFonts w:eastAsiaTheme="majorEastAsia" w:cstheme="majorBidi"/>
      <w:i/>
      <w:szCs w:val="24"/>
    </w:rPr>
  </w:style>
  <w:style w:type="paragraph" w:styleId="TOCHeading">
    <w:name w:val="TOC Heading"/>
    <w:basedOn w:val="Heading1"/>
    <w:next w:val="Normal"/>
    <w:uiPriority w:val="39"/>
    <w:unhideWhenUsed/>
    <w:qFormat/>
    <w:rsid w:val="0008623C"/>
    <w:pPr>
      <w:outlineLvl w:val="9"/>
    </w:pPr>
    <w:rPr>
      <w:rFonts w:asciiTheme="majorHAnsi" w:hAnsiTheme="majorHAnsi"/>
      <w:b w:val="0"/>
      <w:caps w:val="0"/>
      <w:color w:val="2E74B5" w:themeColor="accent1" w:themeShade="BF"/>
      <w:sz w:val="32"/>
      <w:lang w:val="en-US"/>
    </w:rPr>
  </w:style>
  <w:style w:type="paragraph" w:styleId="TOC1">
    <w:name w:val="toc 1"/>
    <w:basedOn w:val="Normal"/>
    <w:next w:val="Normal"/>
    <w:autoRedefine/>
    <w:uiPriority w:val="39"/>
    <w:unhideWhenUsed/>
    <w:rsid w:val="00E164C2"/>
    <w:pPr>
      <w:tabs>
        <w:tab w:val="left" w:pos="440"/>
        <w:tab w:val="right" w:leader="dot" w:pos="9016"/>
      </w:tabs>
      <w:spacing w:after="100"/>
    </w:pPr>
  </w:style>
  <w:style w:type="paragraph" w:styleId="TOC2">
    <w:name w:val="toc 2"/>
    <w:basedOn w:val="Normal"/>
    <w:next w:val="Normal"/>
    <w:autoRedefine/>
    <w:uiPriority w:val="39"/>
    <w:unhideWhenUsed/>
    <w:rsid w:val="0008623C"/>
    <w:pPr>
      <w:spacing w:after="100"/>
      <w:ind w:left="220"/>
    </w:pPr>
  </w:style>
  <w:style w:type="paragraph" w:styleId="TOC3">
    <w:name w:val="toc 3"/>
    <w:basedOn w:val="Normal"/>
    <w:next w:val="Normal"/>
    <w:autoRedefine/>
    <w:uiPriority w:val="39"/>
    <w:unhideWhenUsed/>
    <w:rsid w:val="0008623C"/>
    <w:pPr>
      <w:spacing w:after="100"/>
      <w:ind w:left="440"/>
    </w:pPr>
  </w:style>
  <w:style w:type="character" w:customStyle="1" w:styleId="UnresolvedMention1">
    <w:name w:val="Unresolved Mention1"/>
    <w:basedOn w:val="DefaultParagraphFont"/>
    <w:uiPriority w:val="99"/>
    <w:semiHidden/>
    <w:unhideWhenUsed/>
    <w:rsid w:val="00C51A2C"/>
    <w:rPr>
      <w:color w:val="605E5C"/>
      <w:shd w:val="clear" w:color="auto" w:fill="E1DFDD"/>
    </w:rPr>
  </w:style>
  <w:style w:type="paragraph" w:styleId="Revision">
    <w:name w:val="Revision"/>
    <w:hidden/>
    <w:uiPriority w:val="99"/>
    <w:semiHidden/>
    <w:rsid w:val="00B86CA4"/>
    <w:pPr>
      <w:spacing w:after="0" w:line="240" w:lineRule="auto"/>
    </w:pPr>
  </w:style>
  <w:style w:type="character" w:customStyle="1" w:styleId="UnresolvedMention">
    <w:name w:val="Unresolved Mention"/>
    <w:basedOn w:val="DefaultParagraphFont"/>
    <w:uiPriority w:val="99"/>
    <w:semiHidden/>
    <w:unhideWhenUsed/>
    <w:rsid w:val="00F2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i-roG8BKObk&amp;feature=youtu.be" TargetMode="External"/><Relationship Id="rId13" Type="http://schemas.openxmlformats.org/officeDocument/2006/relationships/hyperlink" Target="https://www.youtube.com/watch?v=i-roG8BKObk&amp;feature=youtu.be" TargetMode="External"/><Relationship Id="rId18" Type="http://schemas.openxmlformats.org/officeDocument/2006/relationships/hyperlink" Target="https://resilientmelbourne.com.au/living-melbourne/" TargetMode="External"/><Relationship Id="rId3" Type="http://schemas.openxmlformats.org/officeDocument/2006/relationships/hyperlink" Target="https://www.planmelbourne.vic.gov.au/__data/assets/pdf_file/0007/377206/Plan_Melbourne_2017-2050_Strategy_.pdf" TargetMode="External"/><Relationship Id="rId21" Type="http://schemas.openxmlformats.org/officeDocument/2006/relationships/hyperlink" Target="https://conbio.onlinelibrary.wiley.com/doi/epdf/10.1111/conl.12411" TargetMode="External"/><Relationship Id="rId7" Type="http://schemas.openxmlformats.org/officeDocument/2006/relationships/hyperlink" Target="https://www.boroondara.vic.gov.au/sites/default/files/2017-05/Urban-Biodiversity-Strategy-2013-2023.pdf" TargetMode="External"/><Relationship Id="rId12" Type="http://schemas.openxmlformats.org/officeDocument/2006/relationships/hyperlink" Target="https://www.youtube.com/watch?v=zmnWZlQM7_Q&amp;feature=youtu.be" TargetMode="External"/><Relationship Id="rId17" Type="http://schemas.openxmlformats.org/officeDocument/2006/relationships/hyperlink" Target="https://www.environment.vic.gov.au/__data/assets/pdf_file/0022/51259/Protecting-Victorias-Environment-Biodiversity-2037.pdf" TargetMode="External"/><Relationship Id="rId2" Type="http://schemas.openxmlformats.org/officeDocument/2006/relationships/hyperlink" Target="https://conbio.onlinelibrary.wiley.com/doi/epdf/10.1111/conl.12411" TargetMode="External"/><Relationship Id="rId16" Type="http://schemas.openxmlformats.org/officeDocument/2006/relationships/hyperlink" Target="https://www.youtube.com/watch?v=TJXqUnDrvgM&amp;feature=youtu.be" TargetMode="External"/><Relationship Id="rId20" Type="http://schemas.openxmlformats.org/officeDocument/2006/relationships/hyperlink" Target="https://www.environment.vic.gov.au/__data/assets/pdf_file/0023/48542/Habitat-Hectare-Assessment-fact-sheet_Feb-2016.pdf" TargetMode="External"/><Relationship Id="rId1" Type="http://schemas.openxmlformats.org/officeDocument/2006/relationships/hyperlink" Target="https://waterkeeper.org/" TargetMode="External"/><Relationship Id="rId6" Type="http://schemas.openxmlformats.org/officeDocument/2006/relationships/hyperlink" Target="https://www.melbournewater.com.au/about-us/strategies-achievements-and-policies/healthy-waterways-strategy" TargetMode="External"/><Relationship Id="rId11" Type="http://schemas.openxmlformats.org/officeDocument/2006/relationships/hyperlink" Target="http://www.gazette.vic.gov.au/gazette/Gazettes2018/GG2018S499.pdf" TargetMode="External"/><Relationship Id="rId5" Type="http://schemas.openxmlformats.org/officeDocument/2006/relationships/hyperlink" Target="https://www.vic.gov.au/victorian-infrastructure-plan" TargetMode="External"/><Relationship Id="rId15" Type="http://schemas.openxmlformats.org/officeDocument/2006/relationships/hyperlink" Target="https://www.youtube.com/watch?v=i-roG8BKObk&amp;feature=youtu.be" TargetMode="External"/><Relationship Id="rId23" Type="http://schemas.openxmlformats.org/officeDocument/2006/relationships/hyperlink" Target="https://www.water.vic.gov.au/__data/assets/pdf_file/0030/58827/Water-Plan-strategy2.pdf" TargetMode="External"/><Relationship Id="rId10" Type="http://schemas.openxmlformats.org/officeDocument/2006/relationships/hyperlink" Target="https://www.youtube.com/watch?v=Zbmwv926JZE&amp;feature=youtu.be" TargetMode="External"/><Relationship Id="rId19" Type="http://schemas.openxmlformats.org/officeDocument/2006/relationships/hyperlink" Target="https://resilientmelbourne.com.au/living-melbourne/" TargetMode="External"/><Relationship Id="rId4" Type="http://schemas.openxmlformats.org/officeDocument/2006/relationships/hyperlink" Target="https://www.environment.vic.gov.au/__data/assets/pdf_file/0022/51259/Protecting-Victorias-Environment-Biodiversity-2037.pdf" TargetMode="External"/><Relationship Id="rId9" Type="http://schemas.openxmlformats.org/officeDocument/2006/relationships/hyperlink" Target="https://www.water.vic.gov.au/__data/assets/pdf_file/0022/81544/DELWP-IWM-Framework-FINAL-FOR-WEB.pdf" TargetMode="External"/><Relationship Id="rId14" Type="http://schemas.openxmlformats.org/officeDocument/2006/relationships/hyperlink" Target="https://www.environment.vic.gov.au/__data/assets/pdf_file/0022/91255/Assessors-handbook-Applications-to-remove,-lop-or-destroy-native-vegetation-V1.1-October-2018.pdf" TargetMode="External"/><Relationship Id="rId22" Type="http://schemas.openxmlformats.org/officeDocument/2006/relationships/hyperlink" Target="https://www.water.vic.gov.au/__data/assets/pdf_file/0022/81544/DELWP-IWM-Framework-FINAL-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535c10-b574-45c3-9d82-2f9fb6ecf59f">D3W4DXVN5RJD-74124986-21167</_dlc_DocId>
    <_dlc_DocIdUrl xmlns="c6535c10-b574-45c3-9d82-2f9fb6ecf59f">
      <Url>https://envirojustice.sharepoint.com/_layouts/15/DocIdRedir.aspx?ID=D3W4DXVN5RJD-74124986-21167</Url>
      <Description>D3W4DXVN5RJD-74124986-21167</Description>
    </_dlc_DocIdUrl>
    <Impact_x0020_area xmlns="c6535c10-b574-45c3-9d82-2f9fb6ecf59f" xsi:nil="true"/>
    <TaxCatchAll xmlns="c6535c10-b574-45c3-9d82-2f9fb6ecf59f"/>
    <Document_x0020_Type xmlns="c6535c10-b574-45c3-9d82-2f9fb6ecf59f" xsi:nil="true"/>
    <IconOverlay xmlns="http://schemas.microsoft.com/sharepoint/v4" xsi:nil="true"/>
    <TaxKeywordTaxHTField xmlns="c6535c10-b574-45c3-9d82-2f9fb6ecf59f">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431E4F951CED4AA18D167376A87051" ma:contentTypeVersion="68" ma:contentTypeDescription="Create a new document." ma:contentTypeScope="" ma:versionID="d2ed62a3002ee46a44242799ed37dd34">
  <xsd:schema xmlns:xsd="http://www.w3.org/2001/XMLSchema" xmlns:xs="http://www.w3.org/2001/XMLSchema" xmlns:p="http://schemas.microsoft.com/office/2006/metadata/properties" xmlns:ns2="c6535c10-b574-45c3-9d82-2f9fb6ecf59f" xmlns:ns3="fe00f219-0076-420f-8cc0-b6c01a3b38d9" xmlns:ns4="http://schemas.microsoft.com/sharepoint/v4" targetNamespace="http://schemas.microsoft.com/office/2006/metadata/properties" ma:root="true" ma:fieldsID="5c94b7f6abb7e887d406a58bdfb6fd14" ns2:_="" ns3:_="" ns4:_="">
    <xsd:import namespace="c6535c10-b574-45c3-9d82-2f9fb6ecf59f"/>
    <xsd:import namespace="fe00f219-0076-420f-8cc0-b6c01a3b38d9"/>
    <xsd:import namespace="http://schemas.microsoft.com/sharepoint/v4"/>
    <xsd:element name="properties">
      <xsd:complexType>
        <xsd:sequence>
          <xsd:element name="documentManagement">
            <xsd:complexType>
              <xsd:all>
                <xsd:element ref="ns2:Impact_x0020_area" minOccurs="0"/>
                <xsd:element ref="ns3:MediaServiceMetadata" minOccurs="0"/>
                <xsd:element ref="ns3:MediaServiceFastMetadata" minOccurs="0"/>
                <xsd:element ref="ns2:_dlc_DocId" minOccurs="0"/>
                <xsd:element ref="ns2:_dlc_DocIdUrl" minOccurs="0"/>
                <xsd:element ref="ns2:_dlc_DocIdPersistId" minOccurs="0"/>
                <xsd:element ref="ns2:SharedWithUsers" minOccurs="0"/>
                <xsd:element ref="ns2:SharedWithDetails" minOccurs="0"/>
                <xsd:element ref="ns2:TaxKeywordTaxHTField" minOccurs="0"/>
                <xsd:element ref="ns2:TaxCatchAll" minOccurs="0"/>
                <xsd:element ref="ns2:Document_x0020_Type"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5c10-b574-45c3-9d82-2f9fb6ecf59f" elementFormDefault="qualified">
    <xsd:import namespace="http://schemas.microsoft.com/office/2006/documentManagement/types"/>
    <xsd:import namespace="http://schemas.microsoft.com/office/infopath/2007/PartnerControls"/>
    <xsd:element name="Impact_x0020_area" ma:index="8" nillable="true" ma:displayName="Impact area" ma:format="Dropdown" ma:indexed="true" ma:internalName="Impact_x0020_area">
      <xsd:simpleType>
        <xsd:restriction base="dms:Choice">
          <xsd:enumeration value="Community"/>
          <xsd:enumeration value="Climate"/>
          <xsd:enumeration value="Nature"/>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5c7b43dd-2ef8-46d3-9ac7-98de484cb8f5"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0a2f992-7601-41c7-b684-cc8f7d041adb}" ma:internalName="TaxCatchAll" ma:showField="CatchAllData" ma:web="c6535c10-b574-45c3-9d82-2f9fb6ecf59f">
      <xsd:complexType>
        <xsd:complexContent>
          <xsd:extension base="dms:MultiChoiceLookup">
            <xsd:sequence>
              <xsd:element name="Value" type="dms:Lookup" maxOccurs="unbounded" minOccurs="0" nillable="true"/>
            </xsd:sequence>
          </xsd:extension>
        </xsd:complexContent>
      </xsd:complexType>
    </xsd:element>
    <xsd:element name="Document_x0020_Type" ma:index="19" nillable="true" ma:displayName="Document Type" ma:description="Select the type of document to help sort and find similar documents" ma:format="Dropdown" ma:internalName="Document_x0020_Type">
      <xsd:simpleType>
        <xsd:restriction base="dms:Choice">
          <xsd:enumeration value="Agenda"/>
          <xsd:enumeration value="Analysis or spreadsheet"/>
          <xsd:enumeration value="Article"/>
          <xsd:enumeration value="Budget"/>
          <xsd:enumeration value="Communications copy"/>
          <xsd:enumeration value="Contract"/>
          <xsd:enumeration value="Correspondence"/>
          <xsd:enumeration value="Draft"/>
          <xsd:enumeration value="Event materials"/>
          <xsd:enumeration value="File note"/>
          <xsd:enumeration value="Form"/>
          <xsd:enumeration value="Grant application"/>
          <xsd:enumeration value="Image"/>
          <xsd:enumeration value="Law and legislation"/>
          <xsd:enumeration value="Letter"/>
          <xsd:enumeration value="Memo"/>
          <xsd:enumeration value="Minutes"/>
          <xsd:enumeration value="Pitch or proposal"/>
          <xsd:enumeration value="Presentation"/>
          <xsd:enumeration value="Project management"/>
          <xsd:enumeration value="Report - internal"/>
          <xsd:enumeration value="Report - published"/>
          <xsd:enumeration value="Research or background"/>
          <xsd:enumeration value="Strategy or plan"/>
          <xsd:enumeration value="Submission or paper"/>
          <xsd:enumeration value="Volunteer research"/>
        </xsd:restriction>
      </xsd:simpleType>
    </xsd:element>
  </xsd:schema>
  <xsd:schema xmlns:xsd="http://www.w3.org/2001/XMLSchema" xmlns:xs="http://www.w3.org/2001/XMLSchema" xmlns:dms="http://schemas.microsoft.com/office/2006/documentManagement/types" xmlns:pc="http://schemas.microsoft.com/office/infopath/2007/PartnerControls" targetNamespace="fe00f219-0076-420f-8cc0-b6c01a3b38d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EBB2-72B4-4D46-B377-237DD26CC8B5}">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e00f219-0076-420f-8cc0-b6c01a3b38d9"/>
    <ds:schemaRef ds:uri="c6535c10-b574-45c3-9d82-2f9fb6ecf59f"/>
    <ds:schemaRef ds:uri="http://www.w3.org/XML/1998/namespace"/>
    <ds:schemaRef ds:uri="http://purl.org/dc/dcmitype/"/>
  </ds:schemaRefs>
</ds:datastoreItem>
</file>

<file path=customXml/itemProps2.xml><?xml version="1.0" encoding="utf-8"?>
<ds:datastoreItem xmlns:ds="http://schemas.openxmlformats.org/officeDocument/2006/customXml" ds:itemID="{40D9B3BA-622F-4E1F-9A7C-8F5DFA13393B}">
  <ds:schemaRefs>
    <ds:schemaRef ds:uri="http://schemas.microsoft.com/sharepoint/events"/>
  </ds:schemaRefs>
</ds:datastoreItem>
</file>

<file path=customXml/itemProps3.xml><?xml version="1.0" encoding="utf-8"?>
<ds:datastoreItem xmlns:ds="http://schemas.openxmlformats.org/officeDocument/2006/customXml" ds:itemID="{CE89B322-6C38-4E64-A261-5BDCA815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5c10-b574-45c3-9d82-2f9fb6ecf59f"/>
    <ds:schemaRef ds:uri="fe00f219-0076-420f-8cc0-b6c01a3b38d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1E034-3B0C-4CAD-BD9F-1728D8C69C27}">
  <ds:schemaRefs>
    <ds:schemaRef ds:uri="http://schemas.microsoft.com/sharepoint/v3/contenttype/forms"/>
  </ds:schemaRefs>
</ds:datastoreItem>
</file>

<file path=customXml/itemProps5.xml><?xml version="1.0" encoding="utf-8"?>
<ds:datastoreItem xmlns:ds="http://schemas.openxmlformats.org/officeDocument/2006/customXml" ds:itemID="{6B9EFA44-8DF2-4EE2-9DDA-01BBAE10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10511</Words>
  <Characters>63176</Characters>
  <Application>Microsoft Office Word</Application>
  <DocSecurity>0</DocSecurity>
  <Lines>2105</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Lindsay</dc:creator>
  <cp:keywords/>
  <dc:description/>
  <cp:lastModifiedBy>Bruce Lindsay</cp:lastModifiedBy>
  <cp:revision>4</cp:revision>
  <cp:lastPrinted>2019-09-05T04:09:00Z</cp:lastPrinted>
  <dcterms:created xsi:type="dcterms:W3CDTF">2019-09-05T06:08:00Z</dcterms:created>
  <dcterms:modified xsi:type="dcterms:W3CDTF">2019-09-09T03:02:00Z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mission date">
    <vt:filetime>2019-07-31T06:00:00Z</vt:filetime>
  </property>
  <property fmtid="{D5CDD505-2E9C-101B-9397-08002B2CF9AE}" pid="3" name="ContentTypeId">
    <vt:lpwstr>0x010100D9431E4F951CED4AA18D167376A87051</vt:lpwstr>
  </property>
  <property fmtid="{D5CDD505-2E9C-101B-9397-08002B2CF9AE}" pid="4" name="_dlc_DocIdItemGuid">
    <vt:lpwstr>83f0a4df-645a-415a-b699-eb67169365b2</vt:lpwstr>
  </property>
  <property fmtid="{D5CDD505-2E9C-101B-9397-08002B2CF9AE}" pid="5" name="TaxKeyword">
    <vt:lpwstr/>
  </property>
</Properties>
</file>