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3D650D" w14:textId="2539BCA3" w:rsidR="00043AA4" w:rsidRDefault="00EA7B94">
      <w:pPr>
        <w:rPr>
          <w:b/>
          <w:sz w:val="22"/>
        </w:rPr>
      </w:pPr>
      <w:r w:rsidRPr="00043AA4">
        <w:rPr>
          <w:b/>
          <w:sz w:val="22"/>
        </w:rPr>
        <w:t xml:space="preserve">Extracted from </w:t>
      </w:r>
      <w:r w:rsidR="00043AA4" w:rsidRPr="00043AA4">
        <w:rPr>
          <w:b/>
          <w:sz w:val="22"/>
        </w:rPr>
        <w:t>Melbourne Water’s</w:t>
      </w:r>
      <w:r w:rsidRPr="00043AA4">
        <w:rPr>
          <w:b/>
          <w:sz w:val="22"/>
        </w:rPr>
        <w:t xml:space="preserve"> </w:t>
      </w:r>
    </w:p>
    <w:p w14:paraId="65A56BC1" w14:textId="1895D333" w:rsidR="008F5443" w:rsidRPr="00043AA4" w:rsidRDefault="00EA7B94">
      <w:pPr>
        <w:rPr>
          <w:b/>
          <w:sz w:val="22"/>
        </w:rPr>
      </w:pPr>
      <w:r w:rsidRPr="00043AA4">
        <w:rPr>
          <w:b/>
          <w:sz w:val="22"/>
        </w:rPr>
        <w:t>Environment Compliance report</w:t>
      </w:r>
      <w:r w:rsidR="00043AA4" w:rsidRPr="00043AA4">
        <w:rPr>
          <w:b/>
          <w:sz w:val="22"/>
        </w:rPr>
        <w:t xml:space="preserve"> </w:t>
      </w:r>
      <w:bookmarkStart w:id="0" w:name="_GoBack"/>
      <w:bookmarkEnd w:id="0"/>
      <w:r w:rsidR="00043AA4" w:rsidRPr="00043AA4">
        <w:rPr>
          <w:b/>
          <w:sz w:val="22"/>
        </w:rPr>
        <w:t>Q3 (2012/13)</w:t>
      </w:r>
    </w:p>
    <w:p w14:paraId="1623BB49" w14:textId="77777777" w:rsidR="00EA7B94" w:rsidRDefault="00EA7B94" w:rsidP="00EA7B94">
      <w:pPr>
        <w:pStyle w:val="Heading2"/>
        <w:spacing w:before="120" w:after="120"/>
      </w:pPr>
      <w:r>
        <w:t>Waterways</w:t>
      </w:r>
    </w:p>
    <w:p w14:paraId="73D48FC5" w14:textId="77777777" w:rsidR="00EA7B94" w:rsidRDefault="00EA7B94" w:rsidP="00EA7B94">
      <w:pPr>
        <w:rPr>
          <w:rFonts w:cs="Arial"/>
          <w:color w:val="000000"/>
          <w:szCs w:val="20"/>
        </w:rPr>
      </w:pPr>
      <w:r w:rsidRPr="00112554">
        <w:rPr>
          <w:rFonts w:cs="Arial"/>
          <w:color w:val="000000"/>
          <w:szCs w:val="20"/>
        </w:rPr>
        <w:t xml:space="preserve">The following information describes the </w:t>
      </w:r>
      <w:proofErr w:type="spellStart"/>
      <w:r w:rsidRPr="00112554">
        <w:rPr>
          <w:rFonts w:cs="Arial"/>
          <w:color w:val="000000"/>
          <w:szCs w:val="20"/>
        </w:rPr>
        <w:t>physico</w:t>
      </w:r>
      <w:proofErr w:type="spellEnd"/>
      <w:r w:rsidRPr="00112554">
        <w:rPr>
          <w:rFonts w:cs="Arial"/>
          <w:color w:val="000000"/>
          <w:szCs w:val="20"/>
        </w:rPr>
        <w:t xml:space="preserve">-chemical and bacteriological condition of Melbourne’s waterways during the reporting period. </w:t>
      </w:r>
      <w:r>
        <w:rPr>
          <w:rFonts w:cs="Arial"/>
          <w:color w:val="000000"/>
          <w:szCs w:val="20"/>
        </w:rPr>
        <w:t xml:space="preserve"> </w:t>
      </w:r>
      <w:r w:rsidRPr="00112554">
        <w:rPr>
          <w:rFonts w:cs="Arial"/>
          <w:color w:val="000000"/>
          <w:szCs w:val="20"/>
        </w:rPr>
        <w:t xml:space="preserve">Objectives set out in the three relevant State environment protection policies (SEPPs) are the long-term targets for water quality. </w:t>
      </w:r>
      <w:r>
        <w:rPr>
          <w:rFonts w:cs="Arial"/>
          <w:color w:val="000000"/>
          <w:szCs w:val="20"/>
        </w:rPr>
        <w:t xml:space="preserve"> </w:t>
      </w:r>
      <w:r w:rsidRPr="00112554">
        <w:rPr>
          <w:rFonts w:cs="Arial"/>
          <w:color w:val="000000"/>
          <w:szCs w:val="20"/>
        </w:rPr>
        <w:t xml:space="preserve">There is no specific statutory obligation on Melbourne Water to meet these targets. </w:t>
      </w:r>
    </w:p>
    <w:p w14:paraId="3C9C77DF" w14:textId="77777777" w:rsidR="00EA7B94" w:rsidRPr="00112554" w:rsidRDefault="00EA7B94" w:rsidP="00EA7B94">
      <w:pPr>
        <w:rPr>
          <w:rFonts w:cs="Arial"/>
          <w:color w:val="000000"/>
          <w:szCs w:val="20"/>
        </w:rPr>
      </w:pPr>
    </w:p>
    <w:p w14:paraId="59AF70DD" w14:textId="77777777" w:rsidR="00EA7B94" w:rsidRDefault="00EA7B94" w:rsidP="00EA7B94">
      <w:pPr>
        <w:rPr>
          <w:rFonts w:cs="Arial"/>
          <w:color w:val="000000"/>
          <w:szCs w:val="20"/>
        </w:rPr>
      </w:pPr>
      <w:r w:rsidRPr="005430ED">
        <w:rPr>
          <w:rFonts w:cs="Arial"/>
          <w:color w:val="000000"/>
          <w:szCs w:val="20"/>
        </w:rPr>
        <w:t>This report uses a rolling twelve months of waterway water quality data and uses the relevant statistical measure from the particular SEPP schedule and segment a waterway falls within</w:t>
      </w:r>
      <w:r>
        <w:rPr>
          <w:rFonts w:cs="Arial"/>
          <w:color w:val="000000"/>
          <w:szCs w:val="20"/>
        </w:rPr>
        <w:t>.</w:t>
      </w:r>
      <w:r w:rsidRPr="005430ED">
        <w:rPr>
          <w:rFonts w:cs="Arial"/>
          <w:color w:val="000000"/>
          <w:szCs w:val="20"/>
        </w:rPr>
        <w:t xml:space="preserve">  The performance tables show performance against relevant SEPP objectives with red indicating a failure to meet SEPP and green indicating compliance with SEPP.  The number in each cell is the result for the previous 12 months</w:t>
      </w:r>
      <w:r>
        <w:rPr>
          <w:rFonts w:cs="Arial"/>
          <w:color w:val="000000"/>
          <w:szCs w:val="20"/>
        </w:rPr>
        <w:t xml:space="preserve"> and is compared against the relevant SEPP objective (in blue)</w:t>
      </w:r>
      <w:r w:rsidRPr="005430ED">
        <w:rPr>
          <w:rFonts w:cs="Arial"/>
          <w:color w:val="000000"/>
          <w:szCs w:val="20"/>
        </w:rPr>
        <w:t>.</w:t>
      </w:r>
    </w:p>
    <w:p w14:paraId="3A89B9BC" w14:textId="77777777" w:rsidR="00EA7B94" w:rsidRPr="005430ED" w:rsidRDefault="00EA7B94" w:rsidP="00EA7B94">
      <w:pPr>
        <w:rPr>
          <w:rFonts w:cs="Arial"/>
          <w:color w:val="000000"/>
          <w:szCs w:val="20"/>
        </w:rPr>
      </w:pPr>
    </w:p>
    <w:p w14:paraId="50A726E8" w14:textId="77777777" w:rsidR="00EA7B94" w:rsidRDefault="00EA7B94" w:rsidP="00EA7B94">
      <w:pPr>
        <w:rPr>
          <w:rFonts w:cs="Arial"/>
          <w:color w:val="000000"/>
          <w:szCs w:val="20"/>
        </w:rPr>
      </w:pPr>
      <w:r w:rsidRPr="00402A00">
        <w:rPr>
          <w:rFonts w:cs="Arial"/>
          <w:color w:val="000000"/>
          <w:szCs w:val="20"/>
        </w:rPr>
        <w:t xml:space="preserve">Waterway monitoring data from the last twelve months showed that waterways within Greater Melbourne performed well for pH, with most catchments complying with SEPP objectives.  Some waterways perform poorly for dissolved oxygen, whilst others in the Werribee/Maribyrnong and Yarra catchments improved compared to the same period last year. All waterways performed poorly for nutrient levels and turbidity with most catchments having few sites that comply with phosphorous, nitrogen, turbidity or </w:t>
      </w:r>
      <w:proofErr w:type="spellStart"/>
      <w:r w:rsidRPr="00402A00">
        <w:rPr>
          <w:rFonts w:cs="Arial"/>
          <w:i/>
          <w:color w:val="000000"/>
          <w:szCs w:val="20"/>
          <w:u w:val="single"/>
        </w:rPr>
        <w:t>E.coli</w:t>
      </w:r>
      <w:proofErr w:type="spellEnd"/>
      <w:r w:rsidRPr="00402A00">
        <w:rPr>
          <w:rFonts w:cs="Arial"/>
          <w:color w:val="000000"/>
          <w:szCs w:val="20"/>
        </w:rPr>
        <w:t xml:space="preserve"> objectives. </w:t>
      </w:r>
    </w:p>
    <w:p w14:paraId="378C624E" w14:textId="77777777" w:rsidR="00EA7B94" w:rsidRPr="00B634FC" w:rsidRDefault="00EA7B94" w:rsidP="00EA7B94">
      <w:pPr>
        <w:rPr>
          <w:rFonts w:cs="Arial"/>
          <w:color w:val="000000"/>
          <w:szCs w:val="20"/>
        </w:rPr>
      </w:pPr>
    </w:p>
    <w:p w14:paraId="1FA423E1" w14:textId="77777777" w:rsidR="00EA7B94" w:rsidRDefault="00EA7B94" w:rsidP="00EA7B94">
      <w:pPr>
        <w:rPr>
          <w:szCs w:val="20"/>
        </w:rPr>
      </w:pPr>
      <w:r>
        <w:rPr>
          <w:szCs w:val="20"/>
        </w:rPr>
        <w:t>The following c</w:t>
      </w:r>
      <w:r w:rsidRPr="005430ED">
        <w:rPr>
          <w:szCs w:val="20"/>
        </w:rPr>
        <w:t xml:space="preserve">harts </w:t>
      </w:r>
      <w:r>
        <w:rPr>
          <w:szCs w:val="20"/>
        </w:rPr>
        <w:t>show</w:t>
      </w:r>
      <w:r w:rsidRPr="005430ED">
        <w:rPr>
          <w:szCs w:val="20"/>
        </w:rPr>
        <w:t xml:space="preserve"> SEPP Compliance</w:t>
      </w:r>
      <w:r>
        <w:rPr>
          <w:szCs w:val="20"/>
        </w:rPr>
        <w:t xml:space="preserve"> at Melbourne Water’s monitoring sites.</w:t>
      </w:r>
    </w:p>
    <w:p w14:paraId="77012489" w14:textId="77777777" w:rsidR="00EA7B94" w:rsidRDefault="00EA7B94" w:rsidP="00EA7B94">
      <w:r>
        <w:br w:type="page"/>
      </w:r>
    </w:p>
    <w:p w14:paraId="66CFB4AD" w14:textId="2281C7D5" w:rsidR="00EA7B94" w:rsidRPr="00FD2681" w:rsidRDefault="00EA7B94" w:rsidP="00043AA4">
      <w:pPr>
        <w:spacing w:line="240" w:lineRule="auto"/>
        <w:rPr>
          <w:rFonts w:ascii="Tahoma" w:hAnsi="Tahoma" w:cs="Tahoma"/>
          <w:color w:val="000000"/>
          <w:sz w:val="32"/>
          <w:szCs w:val="32"/>
          <w:lang w:eastAsia="en-AU"/>
        </w:rPr>
      </w:pPr>
      <w:r w:rsidRPr="00275362">
        <w:rPr>
          <w:rFonts w:cs="Tahoma"/>
          <w:sz w:val="32"/>
          <w:szCs w:val="32"/>
        </w:rPr>
        <w:lastRenderedPageBreak/>
        <w:t>Waters of the Yarra Catchment</w:t>
      </w:r>
      <w:r>
        <w:rPr>
          <w:noProof/>
          <w:lang w:eastAsia="en-AU"/>
        </w:rPr>
        <w:drawing>
          <wp:inline distT="0" distB="0" distL="0" distR="0" wp14:anchorId="47F21CDC" wp14:editId="2E4A03FB">
            <wp:extent cx="5676900" cy="7829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76900" cy="7829550"/>
                    </a:xfrm>
                    <a:prstGeom prst="rect">
                      <a:avLst/>
                    </a:prstGeom>
                    <a:noFill/>
                    <a:ln>
                      <a:noFill/>
                    </a:ln>
                  </pic:spPr>
                </pic:pic>
              </a:graphicData>
            </a:graphic>
          </wp:inline>
        </w:drawing>
      </w:r>
      <w:r>
        <w:t xml:space="preserve"> </w:t>
      </w:r>
    </w:p>
    <w:p w14:paraId="49532C1C" w14:textId="77777777" w:rsidR="00EA7B94" w:rsidRDefault="00EA7B94" w:rsidP="00EA7B94">
      <w:pPr>
        <w:spacing w:line="240" w:lineRule="auto"/>
        <w:rPr>
          <w:b/>
          <w:szCs w:val="20"/>
        </w:rPr>
      </w:pPr>
    </w:p>
    <w:p w14:paraId="16D01128" w14:textId="77777777" w:rsidR="00EA7B94" w:rsidRDefault="00EA7B94" w:rsidP="00EA7B94">
      <w:pPr>
        <w:spacing w:line="240" w:lineRule="auto"/>
        <w:rPr>
          <w:b/>
          <w:szCs w:val="20"/>
        </w:rPr>
      </w:pPr>
    </w:p>
    <w:p w14:paraId="472EDCFC" w14:textId="77777777" w:rsidR="00EA7B94" w:rsidRDefault="00EA7B94" w:rsidP="00EA7B94">
      <w:pPr>
        <w:spacing w:line="240" w:lineRule="auto"/>
      </w:pPr>
      <w:r>
        <w:rPr>
          <w:noProof/>
          <w:lang w:eastAsia="en-AU"/>
        </w:rPr>
        <w:lastRenderedPageBreak/>
        <w:drawing>
          <wp:inline distT="0" distB="0" distL="0" distR="0" wp14:anchorId="688788C7" wp14:editId="329716E8">
            <wp:extent cx="5676900" cy="4867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76900" cy="4867275"/>
                    </a:xfrm>
                    <a:prstGeom prst="rect">
                      <a:avLst/>
                    </a:prstGeom>
                    <a:noFill/>
                    <a:ln>
                      <a:noFill/>
                    </a:ln>
                  </pic:spPr>
                </pic:pic>
              </a:graphicData>
            </a:graphic>
          </wp:inline>
        </w:drawing>
      </w:r>
    </w:p>
    <w:p w14:paraId="6BE084E3" w14:textId="77777777" w:rsidR="00EA7B94" w:rsidRPr="003B5762" w:rsidRDefault="00EA7B94" w:rsidP="00EA7B94">
      <w:pPr>
        <w:spacing w:line="240" w:lineRule="auto"/>
        <w:rPr>
          <w:b/>
          <w:szCs w:val="20"/>
        </w:rPr>
      </w:pPr>
    </w:p>
    <w:p w14:paraId="1F56F466" w14:textId="77777777" w:rsidR="00EA7B94" w:rsidRDefault="00EA7B94" w:rsidP="00EA7B94">
      <w:pPr>
        <w:tabs>
          <w:tab w:val="left" w:pos="993"/>
        </w:tabs>
      </w:pPr>
    </w:p>
    <w:p w14:paraId="65EAB12A" w14:textId="77777777" w:rsidR="00EA7B94" w:rsidRDefault="00EA7B94"/>
    <w:sectPr w:rsidR="00EA7B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B94"/>
    <w:rsid w:val="00043AA4"/>
    <w:rsid w:val="008026B0"/>
    <w:rsid w:val="008F5443"/>
    <w:rsid w:val="00DC34CA"/>
    <w:rsid w:val="00EA695B"/>
    <w:rsid w:val="00EA7B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BC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B94"/>
    <w:pPr>
      <w:spacing w:after="0" w:line="300" w:lineRule="atLeast"/>
    </w:pPr>
    <w:rPr>
      <w:rFonts w:ascii="Verdana" w:eastAsia="Times New Roman" w:hAnsi="Verdana" w:cs="Times New Roman"/>
      <w:sz w:val="20"/>
      <w:szCs w:val="24"/>
    </w:rPr>
  </w:style>
  <w:style w:type="paragraph" w:styleId="Heading2">
    <w:name w:val="heading 2"/>
    <w:basedOn w:val="Normal"/>
    <w:next w:val="Normal"/>
    <w:link w:val="Heading2Char"/>
    <w:uiPriority w:val="99"/>
    <w:qFormat/>
    <w:rsid w:val="00EA7B94"/>
    <w:pPr>
      <w:keepNext/>
      <w:spacing w:before="356" w:after="112" w:line="240" w:lineRule="auto"/>
      <w:outlineLvl w:val="1"/>
    </w:pPr>
    <w:rPr>
      <w:rFonts w:cs="Arial"/>
      <w:b/>
      <w:bCs/>
      <w:iCs/>
      <w:color w:val="46C2D7"/>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EA7B94"/>
    <w:rPr>
      <w:rFonts w:ascii="Verdana" w:eastAsia="Times New Roman" w:hAnsi="Verdana" w:cs="Arial"/>
      <w:b/>
      <w:bCs/>
      <w:iCs/>
      <w:color w:val="46C2D7"/>
      <w:sz w:val="20"/>
      <w:szCs w:val="28"/>
    </w:rPr>
  </w:style>
  <w:style w:type="paragraph" w:styleId="BalloonText">
    <w:name w:val="Balloon Text"/>
    <w:basedOn w:val="Normal"/>
    <w:link w:val="BalloonTextChar"/>
    <w:uiPriority w:val="99"/>
    <w:semiHidden/>
    <w:unhideWhenUsed/>
    <w:rsid w:val="00EA7B9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7B9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B94"/>
    <w:pPr>
      <w:spacing w:after="0" w:line="300" w:lineRule="atLeast"/>
    </w:pPr>
    <w:rPr>
      <w:rFonts w:ascii="Verdana" w:eastAsia="Times New Roman" w:hAnsi="Verdana" w:cs="Times New Roman"/>
      <w:sz w:val="20"/>
      <w:szCs w:val="24"/>
    </w:rPr>
  </w:style>
  <w:style w:type="paragraph" w:styleId="Heading2">
    <w:name w:val="heading 2"/>
    <w:basedOn w:val="Normal"/>
    <w:next w:val="Normal"/>
    <w:link w:val="Heading2Char"/>
    <w:uiPriority w:val="99"/>
    <w:qFormat/>
    <w:rsid w:val="00EA7B94"/>
    <w:pPr>
      <w:keepNext/>
      <w:spacing w:before="356" w:after="112" w:line="240" w:lineRule="auto"/>
      <w:outlineLvl w:val="1"/>
    </w:pPr>
    <w:rPr>
      <w:rFonts w:cs="Arial"/>
      <w:b/>
      <w:bCs/>
      <w:iCs/>
      <w:color w:val="46C2D7"/>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EA7B94"/>
    <w:rPr>
      <w:rFonts w:ascii="Verdana" w:eastAsia="Times New Roman" w:hAnsi="Verdana" w:cs="Arial"/>
      <w:b/>
      <w:bCs/>
      <w:iCs/>
      <w:color w:val="46C2D7"/>
      <w:sz w:val="20"/>
      <w:szCs w:val="28"/>
    </w:rPr>
  </w:style>
  <w:style w:type="paragraph" w:styleId="BalloonText">
    <w:name w:val="Balloon Text"/>
    <w:basedOn w:val="Normal"/>
    <w:link w:val="BalloonTextChar"/>
    <w:uiPriority w:val="99"/>
    <w:semiHidden/>
    <w:unhideWhenUsed/>
    <w:rsid w:val="00EA7B9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7B9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233</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Melbourne Water Corporation</Company>
  <LinksUpToDate>false</LinksUpToDate>
  <CharactersWithSpaces>1559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 Ligtermoet</dc:creator>
  <cp:lastModifiedBy>Ian Penrose</cp:lastModifiedBy>
  <cp:revision>2</cp:revision>
  <dcterms:created xsi:type="dcterms:W3CDTF">2013-07-19T02:47:00Z</dcterms:created>
  <dcterms:modified xsi:type="dcterms:W3CDTF">2013-07-19T02:47:00Z</dcterms:modified>
</cp:coreProperties>
</file>